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1032AB" w14:textId="77777777" w:rsidR="00BC7604" w:rsidRDefault="00BC7604" w:rsidP="00BC7604">
      <w:pPr>
        <w:spacing w:after="0" w:line="360" w:lineRule="auto"/>
        <w:jc w:val="center"/>
        <w:rPr>
          <w:rFonts w:cs="Times New Roman"/>
          <w:b/>
        </w:rPr>
      </w:pPr>
      <w:r>
        <w:rPr>
          <w:rFonts w:cs="Times New Roman"/>
          <w:b/>
        </w:rPr>
        <w:t>ACEITAÇÃO E USO DE UM</w:t>
      </w:r>
      <w:r w:rsidRPr="00085DED">
        <w:rPr>
          <w:rFonts w:cs="Times New Roman"/>
          <w:b/>
        </w:rPr>
        <w:t xml:space="preserve"> </w:t>
      </w:r>
      <w:r w:rsidRPr="00D477BC">
        <w:rPr>
          <w:rFonts w:cs="Times New Roman"/>
          <w:b/>
          <w:i/>
          <w:iCs/>
        </w:rPr>
        <w:t>ENTERPRISE RESOURCE PLANNING</w:t>
      </w:r>
      <w:r w:rsidRPr="00085DED">
        <w:rPr>
          <w:rFonts w:cs="Times New Roman"/>
          <w:b/>
        </w:rPr>
        <w:t xml:space="preserve"> NO OESTE AMAZÔNICO</w:t>
      </w:r>
    </w:p>
    <w:p w14:paraId="57747AC0" w14:textId="77777777" w:rsidR="00BC7604" w:rsidRDefault="00BC7604" w:rsidP="00BC7604">
      <w:pPr>
        <w:spacing w:after="0" w:line="360" w:lineRule="auto"/>
        <w:jc w:val="center"/>
        <w:rPr>
          <w:rFonts w:cs="Times New Roman"/>
          <w:b/>
        </w:rPr>
      </w:pPr>
    </w:p>
    <w:p w14:paraId="2A95ED2B" w14:textId="42468125" w:rsidR="00BC7604" w:rsidRPr="002F4626" w:rsidRDefault="00BC7604" w:rsidP="009132C7">
      <w:pPr>
        <w:spacing w:after="0" w:line="360" w:lineRule="auto"/>
        <w:jc w:val="both"/>
        <w:rPr>
          <w:rFonts w:cs="Times New Roman"/>
          <w:bCs/>
          <w:lang w:val="en-US"/>
        </w:rPr>
      </w:pPr>
      <w:r w:rsidRPr="00C172EA">
        <w:rPr>
          <w:rFonts w:cs="Times New Roman"/>
          <w:bCs/>
        </w:rPr>
        <w:t xml:space="preserve">Raul Afonso Pommer Barbosa, </w:t>
      </w:r>
      <w:r>
        <w:rPr>
          <w:rFonts w:cs="Times New Roman"/>
          <w:bCs/>
        </w:rPr>
        <w:t>Instituto Federal de Minas Gerais-IFMG.</w:t>
      </w:r>
      <w:r w:rsidR="006E1641">
        <w:rPr>
          <w:rFonts w:cs="Times New Roman"/>
          <w:bCs/>
        </w:rPr>
        <w:t xml:space="preserve"> </w:t>
      </w:r>
      <w:r w:rsidR="006E1641" w:rsidRPr="002F4626">
        <w:rPr>
          <w:rFonts w:cs="Times New Roman"/>
          <w:bCs/>
          <w:lang w:val="en-US"/>
        </w:rPr>
        <w:t>E-mail: raulpommer@hotmail.com</w:t>
      </w:r>
    </w:p>
    <w:p w14:paraId="54B86728" w14:textId="77777777" w:rsidR="00BC7604" w:rsidRPr="002F4626" w:rsidRDefault="00BC7604" w:rsidP="00BC7604">
      <w:pPr>
        <w:spacing w:after="0" w:line="360" w:lineRule="auto"/>
        <w:jc w:val="center"/>
        <w:rPr>
          <w:rFonts w:cs="Times New Roman"/>
          <w:b/>
          <w:lang w:val="en-US"/>
        </w:rPr>
      </w:pPr>
    </w:p>
    <w:p w14:paraId="415A4FE2" w14:textId="77777777" w:rsidR="00BC7604" w:rsidRPr="002F4626" w:rsidRDefault="00BC7604" w:rsidP="00BC7604">
      <w:pPr>
        <w:spacing w:after="0" w:line="360" w:lineRule="auto"/>
        <w:jc w:val="center"/>
        <w:rPr>
          <w:rFonts w:cs="Times New Roman"/>
          <w:b/>
          <w:lang w:val="en-US"/>
        </w:rPr>
      </w:pPr>
    </w:p>
    <w:p w14:paraId="40B76F96" w14:textId="77777777" w:rsidR="00BC7604" w:rsidRPr="002F4626" w:rsidRDefault="00BC7604" w:rsidP="00BC7604">
      <w:pPr>
        <w:spacing w:after="0" w:line="360" w:lineRule="auto"/>
        <w:jc w:val="center"/>
        <w:rPr>
          <w:rFonts w:cs="Times New Roman"/>
          <w:b/>
          <w:lang w:val="en-US"/>
        </w:rPr>
      </w:pPr>
    </w:p>
    <w:p w14:paraId="5840A934" w14:textId="77777777" w:rsidR="00BC7604" w:rsidRPr="002F4626" w:rsidRDefault="00BC7604" w:rsidP="00BC7604">
      <w:pPr>
        <w:spacing w:after="0" w:line="360" w:lineRule="auto"/>
        <w:jc w:val="center"/>
        <w:rPr>
          <w:rFonts w:cs="Times New Roman"/>
          <w:b/>
          <w:lang w:val="en-US"/>
        </w:rPr>
      </w:pPr>
    </w:p>
    <w:p w14:paraId="43A81651" w14:textId="77777777" w:rsidR="00BC7604" w:rsidRPr="002F4626" w:rsidRDefault="00BC7604" w:rsidP="00BC7604">
      <w:pPr>
        <w:spacing w:after="0" w:line="360" w:lineRule="auto"/>
        <w:jc w:val="center"/>
        <w:rPr>
          <w:rFonts w:cs="Times New Roman"/>
          <w:b/>
          <w:lang w:val="en-US"/>
        </w:rPr>
      </w:pPr>
    </w:p>
    <w:p w14:paraId="226D06E1" w14:textId="77777777" w:rsidR="00BC7604" w:rsidRPr="002F4626" w:rsidRDefault="00BC7604" w:rsidP="00BC7604">
      <w:pPr>
        <w:spacing w:after="0" w:line="360" w:lineRule="auto"/>
        <w:jc w:val="center"/>
        <w:rPr>
          <w:rFonts w:cs="Times New Roman"/>
          <w:b/>
          <w:lang w:val="en-US"/>
        </w:rPr>
      </w:pPr>
    </w:p>
    <w:p w14:paraId="4BADBD54" w14:textId="77777777" w:rsidR="00BC7604" w:rsidRPr="002F4626" w:rsidRDefault="00BC7604" w:rsidP="00BC7604">
      <w:pPr>
        <w:spacing w:after="0" w:line="360" w:lineRule="auto"/>
        <w:jc w:val="center"/>
        <w:rPr>
          <w:rFonts w:cs="Times New Roman"/>
          <w:b/>
          <w:lang w:val="en-US"/>
        </w:rPr>
      </w:pPr>
    </w:p>
    <w:p w14:paraId="63452651" w14:textId="77777777" w:rsidR="00BC7604" w:rsidRPr="002F4626" w:rsidRDefault="00BC7604" w:rsidP="00BC7604">
      <w:pPr>
        <w:spacing w:after="0" w:line="360" w:lineRule="auto"/>
        <w:jc w:val="center"/>
        <w:rPr>
          <w:rFonts w:cs="Times New Roman"/>
          <w:b/>
          <w:lang w:val="en-US"/>
        </w:rPr>
      </w:pPr>
    </w:p>
    <w:p w14:paraId="6EDBD35B" w14:textId="77777777" w:rsidR="00BC7604" w:rsidRPr="002F4626" w:rsidRDefault="00BC7604" w:rsidP="00BC7604">
      <w:pPr>
        <w:spacing w:after="0" w:line="360" w:lineRule="auto"/>
        <w:jc w:val="center"/>
        <w:rPr>
          <w:rFonts w:cs="Times New Roman"/>
          <w:b/>
          <w:lang w:val="en-US"/>
        </w:rPr>
      </w:pPr>
    </w:p>
    <w:p w14:paraId="02483369" w14:textId="77777777" w:rsidR="00BC7604" w:rsidRPr="002F4626" w:rsidRDefault="00BC7604" w:rsidP="00BC7604">
      <w:pPr>
        <w:spacing w:after="0" w:line="360" w:lineRule="auto"/>
        <w:jc w:val="center"/>
        <w:rPr>
          <w:rFonts w:cs="Times New Roman"/>
          <w:b/>
          <w:lang w:val="en-US"/>
        </w:rPr>
      </w:pPr>
    </w:p>
    <w:p w14:paraId="26E9059C" w14:textId="77777777" w:rsidR="00BC7604" w:rsidRPr="002F4626" w:rsidRDefault="00BC7604" w:rsidP="00BC7604">
      <w:pPr>
        <w:spacing w:after="0" w:line="360" w:lineRule="auto"/>
        <w:jc w:val="center"/>
        <w:rPr>
          <w:rFonts w:cs="Times New Roman"/>
          <w:b/>
          <w:lang w:val="en-US"/>
        </w:rPr>
      </w:pPr>
    </w:p>
    <w:p w14:paraId="5488E992" w14:textId="77777777" w:rsidR="00BC7604" w:rsidRPr="002F4626" w:rsidRDefault="00BC7604" w:rsidP="00BC7604">
      <w:pPr>
        <w:spacing w:after="0" w:line="360" w:lineRule="auto"/>
        <w:jc w:val="center"/>
        <w:rPr>
          <w:rFonts w:cs="Times New Roman"/>
          <w:b/>
          <w:lang w:val="en-US"/>
        </w:rPr>
      </w:pPr>
    </w:p>
    <w:p w14:paraId="237563DA" w14:textId="77777777" w:rsidR="00BC7604" w:rsidRPr="002F4626" w:rsidRDefault="00BC7604" w:rsidP="00BC7604">
      <w:pPr>
        <w:spacing w:after="0" w:line="360" w:lineRule="auto"/>
        <w:jc w:val="center"/>
        <w:rPr>
          <w:rFonts w:cs="Times New Roman"/>
          <w:b/>
          <w:lang w:val="en-US"/>
        </w:rPr>
      </w:pPr>
    </w:p>
    <w:p w14:paraId="6984658E" w14:textId="77777777" w:rsidR="00BC7604" w:rsidRPr="002F4626" w:rsidRDefault="00BC7604" w:rsidP="00BC7604">
      <w:pPr>
        <w:spacing w:after="0" w:line="360" w:lineRule="auto"/>
        <w:jc w:val="center"/>
        <w:rPr>
          <w:rFonts w:cs="Times New Roman"/>
          <w:b/>
          <w:lang w:val="en-US"/>
        </w:rPr>
      </w:pPr>
    </w:p>
    <w:p w14:paraId="1738DDBE" w14:textId="77777777" w:rsidR="00BC7604" w:rsidRPr="002F4626" w:rsidRDefault="00BC7604" w:rsidP="00BC7604">
      <w:pPr>
        <w:spacing w:after="0" w:line="360" w:lineRule="auto"/>
        <w:jc w:val="center"/>
        <w:rPr>
          <w:rFonts w:cs="Times New Roman"/>
          <w:b/>
          <w:lang w:val="en-US"/>
        </w:rPr>
      </w:pPr>
    </w:p>
    <w:p w14:paraId="7B9F7DBD" w14:textId="77777777" w:rsidR="00BC7604" w:rsidRPr="002F4626" w:rsidRDefault="00BC7604" w:rsidP="00BC7604">
      <w:pPr>
        <w:spacing w:after="0" w:line="360" w:lineRule="auto"/>
        <w:jc w:val="center"/>
        <w:rPr>
          <w:rFonts w:cs="Times New Roman"/>
          <w:b/>
          <w:lang w:val="en-US"/>
        </w:rPr>
      </w:pPr>
    </w:p>
    <w:p w14:paraId="30A7B2F2" w14:textId="77777777" w:rsidR="00BC7604" w:rsidRPr="002F4626" w:rsidRDefault="00BC7604" w:rsidP="00BC7604">
      <w:pPr>
        <w:spacing w:after="0" w:line="360" w:lineRule="auto"/>
        <w:jc w:val="center"/>
        <w:rPr>
          <w:rFonts w:cs="Times New Roman"/>
          <w:b/>
          <w:lang w:val="en-US"/>
        </w:rPr>
      </w:pPr>
    </w:p>
    <w:p w14:paraId="2C88CE59" w14:textId="77777777" w:rsidR="00BC7604" w:rsidRPr="002F4626" w:rsidRDefault="00BC7604" w:rsidP="00BC7604">
      <w:pPr>
        <w:spacing w:after="0" w:line="360" w:lineRule="auto"/>
        <w:jc w:val="center"/>
        <w:rPr>
          <w:rFonts w:cs="Times New Roman"/>
          <w:b/>
          <w:lang w:val="en-US"/>
        </w:rPr>
      </w:pPr>
    </w:p>
    <w:p w14:paraId="1760FD68" w14:textId="77777777" w:rsidR="00BC7604" w:rsidRPr="002F4626" w:rsidRDefault="00BC7604" w:rsidP="00BC7604">
      <w:pPr>
        <w:spacing w:after="0" w:line="360" w:lineRule="auto"/>
        <w:jc w:val="center"/>
        <w:rPr>
          <w:rFonts w:cs="Times New Roman"/>
          <w:b/>
          <w:lang w:val="en-US"/>
        </w:rPr>
      </w:pPr>
    </w:p>
    <w:p w14:paraId="7EE646C9" w14:textId="77777777" w:rsidR="00BC7604" w:rsidRPr="002F4626" w:rsidRDefault="00BC7604" w:rsidP="00BC7604">
      <w:pPr>
        <w:spacing w:after="0" w:line="360" w:lineRule="auto"/>
        <w:jc w:val="center"/>
        <w:rPr>
          <w:rFonts w:cs="Times New Roman"/>
          <w:b/>
          <w:lang w:val="en-US"/>
        </w:rPr>
      </w:pPr>
    </w:p>
    <w:p w14:paraId="63367C36" w14:textId="77777777" w:rsidR="00BC7604" w:rsidRPr="002F4626" w:rsidRDefault="00BC7604" w:rsidP="00BC7604">
      <w:pPr>
        <w:spacing w:after="0" w:line="360" w:lineRule="auto"/>
        <w:jc w:val="center"/>
        <w:rPr>
          <w:rFonts w:cs="Times New Roman"/>
          <w:b/>
          <w:lang w:val="en-US"/>
        </w:rPr>
      </w:pPr>
    </w:p>
    <w:p w14:paraId="3C4812BD" w14:textId="77777777" w:rsidR="00BC7604" w:rsidRPr="002F4626" w:rsidRDefault="00BC7604" w:rsidP="00BC7604">
      <w:pPr>
        <w:spacing w:after="0" w:line="360" w:lineRule="auto"/>
        <w:jc w:val="center"/>
        <w:rPr>
          <w:rFonts w:cs="Times New Roman"/>
          <w:b/>
          <w:lang w:val="en-US"/>
        </w:rPr>
      </w:pPr>
    </w:p>
    <w:p w14:paraId="34039E73" w14:textId="77777777" w:rsidR="00BC7604" w:rsidRPr="002F4626" w:rsidRDefault="00BC7604" w:rsidP="00BC7604">
      <w:pPr>
        <w:spacing w:after="0" w:line="360" w:lineRule="auto"/>
        <w:jc w:val="center"/>
        <w:rPr>
          <w:rFonts w:cs="Times New Roman"/>
          <w:b/>
          <w:lang w:val="en-US"/>
        </w:rPr>
      </w:pPr>
    </w:p>
    <w:p w14:paraId="09E267B0" w14:textId="77777777" w:rsidR="00BC7604" w:rsidRPr="002F4626" w:rsidRDefault="00BC7604" w:rsidP="00BC7604">
      <w:pPr>
        <w:spacing w:after="0" w:line="360" w:lineRule="auto"/>
        <w:jc w:val="center"/>
        <w:rPr>
          <w:rFonts w:cs="Times New Roman"/>
          <w:b/>
          <w:lang w:val="en-US"/>
        </w:rPr>
      </w:pPr>
    </w:p>
    <w:p w14:paraId="4DB09078" w14:textId="77777777" w:rsidR="00BC7604" w:rsidRPr="002F4626" w:rsidRDefault="00BC7604" w:rsidP="00BC7604">
      <w:pPr>
        <w:spacing w:after="0" w:line="360" w:lineRule="auto"/>
        <w:jc w:val="center"/>
        <w:rPr>
          <w:rFonts w:cs="Times New Roman"/>
          <w:b/>
          <w:lang w:val="en-US"/>
        </w:rPr>
      </w:pPr>
    </w:p>
    <w:p w14:paraId="09A33B04" w14:textId="77777777" w:rsidR="00BC7604" w:rsidRPr="002F4626" w:rsidRDefault="00BC7604" w:rsidP="00BC7604">
      <w:pPr>
        <w:spacing w:after="0" w:line="360" w:lineRule="auto"/>
        <w:jc w:val="center"/>
        <w:rPr>
          <w:rFonts w:cs="Times New Roman"/>
          <w:b/>
          <w:lang w:val="en-US"/>
        </w:rPr>
      </w:pPr>
    </w:p>
    <w:p w14:paraId="561BBFC0" w14:textId="77777777" w:rsidR="00BC7604" w:rsidRPr="002F4626" w:rsidRDefault="00BC7604" w:rsidP="00BC7604">
      <w:pPr>
        <w:spacing w:after="0" w:line="360" w:lineRule="auto"/>
        <w:jc w:val="center"/>
        <w:rPr>
          <w:rFonts w:cs="Times New Roman"/>
          <w:b/>
          <w:lang w:val="en-US"/>
        </w:rPr>
      </w:pPr>
    </w:p>
    <w:p w14:paraId="0198048B" w14:textId="77777777" w:rsidR="00BC7604" w:rsidRPr="002F4626" w:rsidRDefault="00BC7604" w:rsidP="00BC7604">
      <w:pPr>
        <w:spacing w:after="0" w:line="360" w:lineRule="auto"/>
        <w:jc w:val="center"/>
        <w:rPr>
          <w:rFonts w:cs="Times New Roman"/>
          <w:b/>
          <w:lang w:val="en-US"/>
        </w:rPr>
      </w:pPr>
    </w:p>
    <w:p w14:paraId="3FF2E92A" w14:textId="77777777" w:rsidR="00BC7604" w:rsidRPr="002F4626" w:rsidRDefault="00BC7604" w:rsidP="00BC7604">
      <w:pPr>
        <w:spacing w:after="0" w:line="360" w:lineRule="auto"/>
        <w:jc w:val="center"/>
        <w:rPr>
          <w:rFonts w:cs="Times New Roman"/>
          <w:b/>
          <w:lang w:val="en-US"/>
        </w:rPr>
      </w:pPr>
    </w:p>
    <w:p w14:paraId="64E7D197" w14:textId="77777777" w:rsidR="00BC7604" w:rsidRDefault="00BC7604" w:rsidP="00BC7604">
      <w:pPr>
        <w:spacing w:after="0" w:line="360" w:lineRule="auto"/>
        <w:jc w:val="center"/>
        <w:rPr>
          <w:rFonts w:cs="Times New Roman"/>
          <w:b/>
          <w:lang w:val="en-US"/>
        </w:rPr>
      </w:pPr>
      <w:r w:rsidRPr="00347704">
        <w:rPr>
          <w:rFonts w:cs="Times New Roman"/>
          <w:b/>
          <w:lang w:val="en-US"/>
        </w:rPr>
        <w:lastRenderedPageBreak/>
        <w:t>ACCEPTANCE AND USE OF ENTERPRISE RESOURCE PLANNING IN THE WESTERN AMAZON</w:t>
      </w:r>
    </w:p>
    <w:p w14:paraId="2C607149" w14:textId="77777777" w:rsidR="00BC7604" w:rsidRDefault="00BC7604" w:rsidP="00BC7604">
      <w:pPr>
        <w:spacing w:after="0" w:line="360" w:lineRule="auto"/>
        <w:jc w:val="center"/>
        <w:rPr>
          <w:rFonts w:cs="Times New Roman"/>
          <w:b/>
          <w:lang w:val="en-US"/>
        </w:rPr>
      </w:pPr>
    </w:p>
    <w:p w14:paraId="0AE6D8C9" w14:textId="62B73343" w:rsidR="00BC7604" w:rsidRPr="00C172EA" w:rsidRDefault="00BC7604" w:rsidP="009132C7">
      <w:pPr>
        <w:spacing w:after="0" w:line="360" w:lineRule="auto"/>
        <w:jc w:val="both"/>
        <w:rPr>
          <w:rFonts w:cs="Times New Roman"/>
          <w:bCs/>
        </w:rPr>
      </w:pPr>
      <w:r w:rsidRPr="00C172EA">
        <w:rPr>
          <w:rFonts w:cs="Times New Roman"/>
          <w:bCs/>
        </w:rPr>
        <w:t xml:space="preserve">Raul Afonso Pommer Barbosa, </w:t>
      </w:r>
      <w:r>
        <w:rPr>
          <w:rFonts w:cs="Times New Roman"/>
          <w:bCs/>
        </w:rPr>
        <w:t>Instituto Federal de Minas Gerais-IFMG.</w:t>
      </w:r>
      <w:r w:rsidR="00DD54E5">
        <w:rPr>
          <w:rFonts w:cs="Times New Roman"/>
          <w:bCs/>
        </w:rPr>
        <w:t xml:space="preserve"> E-mail: raulpommer@hotmail.com</w:t>
      </w:r>
    </w:p>
    <w:p w14:paraId="551753A3" w14:textId="77777777" w:rsidR="00BC7604" w:rsidRPr="00C172EA" w:rsidRDefault="00BC7604" w:rsidP="00BC7604">
      <w:pPr>
        <w:spacing w:after="0" w:line="360" w:lineRule="auto"/>
        <w:jc w:val="center"/>
        <w:rPr>
          <w:rFonts w:cs="Times New Roman"/>
          <w:b/>
        </w:rPr>
      </w:pPr>
    </w:p>
    <w:p w14:paraId="7AF06C07" w14:textId="77777777" w:rsidR="00BC7604" w:rsidRPr="00C172EA" w:rsidRDefault="00BC7604" w:rsidP="00BC7604">
      <w:pPr>
        <w:spacing w:after="0" w:line="360" w:lineRule="auto"/>
        <w:jc w:val="center"/>
        <w:rPr>
          <w:rFonts w:cs="Times New Roman"/>
          <w:b/>
        </w:rPr>
      </w:pPr>
    </w:p>
    <w:p w14:paraId="746D443F" w14:textId="77777777" w:rsidR="00BC7604" w:rsidRPr="00C172EA" w:rsidRDefault="00BC7604" w:rsidP="00BC7604">
      <w:pPr>
        <w:spacing w:after="0" w:line="360" w:lineRule="auto"/>
        <w:jc w:val="both"/>
        <w:rPr>
          <w:rFonts w:cs="Times New Roman"/>
        </w:rPr>
      </w:pPr>
    </w:p>
    <w:p w14:paraId="1EE020E5" w14:textId="77777777" w:rsidR="00BC7604" w:rsidRPr="00C172EA" w:rsidRDefault="00BC7604" w:rsidP="00BC7604">
      <w:pPr>
        <w:spacing w:after="0" w:line="360" w:lineRule="auto"/>
        <w:jc w:val="both"/>
        <w:rPr>
          <w:rFonts w:cs="Times New Roman"/>
        </w:rPr>
      </w:pPr>
    </w:p>
    <w:p w14:paraId="175ABC59" w14:textId="77777777" w:rsidR="00BC7604" w:rsidRPr="00C172EA" w:rsidRDefault="00BC7604" w:rsidP="00BC7604">
      <w:pPr>
        <w:spacing w:after="0" w:line="360" w:lineRule="auto"/>
        <w:jc w:val="both"/>
        <w:rPr>
          <w:rFonts w:cs="Times New Roman"/>
        </w:rPr>
      </w:pPr>
    </w:p>
    <w:p w14:paraId="0EF85CEE" w14:textId="77777777" w:rsidR="00BC7604" w:rsidRPr="00C172EA" w:rsidRDefault="00BC7604" w:rsidP="00BC7604">
      <w:pPr>
        <w:spacing w:after="0" w:line="360" w:lineRule="auto"/>
        <w:jc w:val="both"/>
        <w:rPr>
          <w:rFonts w:cs="Times New Roman"/>
        </w:rPr>
      </w:pPr>
    </w:p>
    <w:p w14:paraId="6911CB95" w14:textId="77777777" w:rsidR="00BC7604" w:rsidRPr="00C172EA" w:rsidRDefault="00BC7604" w:rsidP="00BC7604">
      <w:pPr>
        <w:spacing w:after="0" w:line="360" w:lineRule="auto"/>
        <w:jc w:val="both"/>
        <w:rPr>
          <w:rFonts w:cs="Times New Roman"/>
        </w:rPr>
      </w:pPr>
    </w:p>
    <w:p w14:paraId="6ABC0B03" w14:textId="77777777" w:rsidR="00BC7604" w:rsidRPr="00C172EA" w:rsidRDefault="00BC7604" w:rsidP="00BC7604">
      <w:pPr>
        <w:spacing w:after="0" w:line="360" w:lineRule="auto"/>
        <w:jc w:val="both"/>
        <w:rPr>
          <w:rFonts w:cs="Times New Roman"/>
        </w:rPr>
      </w:pPr>
    </w:p>
    <w:p w14:paraId="4AFF63E8" w14:textId="77777777" w:rsidR="00BC7604" w:rsidRPr="00C172EA" w:rsidRDefault="00BC7604" w:rsidP="00BC7604">
      <w:pPr>
        <w:spacing w:after="0" w:line="360" w:lineRule="auto"/>
        <w:jc w:val="both"/>
        <w:rPr>
          <w:rFonts w:cs="Times New Roman"/>
        </w:rPr>
      </w:pPr>
    </w:p>
    <w:p w14:paraId="42A891C0" w14:textId="77777777" w:rsidR="00BC7604" w:rsidRPr="00C172EA" w:rsidRDefault="00BC7604" w:rsidP="00BC7604">
      <w:pPr>
        <w:spacing w:after="0" w:line="360" w:lineRule="auto"/>
        <w:jc w:val="both"/>
        <w:rPr>
          <w:rFonts w:cs="Times New Roman"/>
        </w:rPr>
      </w:pPr>
    </w:p>
    <w:p w14:paraId="57EC3DC1" w14:textId="77777777" w:rsidR="00BC7604" w:rsidRPr="00C172EA" w:rsidRDefault="00BC7604" w:rsidP="00BC7604">
      <w:pPr>
        <w:spacing w:after="0" w:line="360" w:lineRule="auto"/>
        <w:jc w:val="both"/>
        <w:rPr>
          <w:rFonts w:cs="Times New Roman"/>
        </w:rPr>
      </w:pPr>
    </w:p>
    <w:p w14:paraId="1D09E823" w14:textId="77777777" w:rsidR="00BC7604" w:rsidRPr="00C172EA" w:rsidRDefault="00BC7604" w:rsidP="00BC7604">
      <w:pPr>
        <w:spacing w:after="0" w:line="360" w:lineRule="auto"/>
        <w:jc w:val="both"/>
        <w:rPr>
          <w:rFonts w:cs="Times New Roman"/>
        </w:rPr>
      </w:pPr>
    </w:p>
    <w:p w14:paraId="201B4415" w14:textId="77777777" w:rsidR="00BC7604" w:rsidRPr="00C172EA" w:rsidRDefault="00BC7604" w:rsidP="00BC7604">
      <w:pPr>
        <w:spacing w:after="0" w:line="360" w:lineRule="auto"/>
        <w:jc w:val="both"/>
        <w:rPr>
          <w:rFonts w:cs="Times New Roman"/>
        </w:rPr>
      </w:pPr>
    </w:p>
    <w:p w14:paraId="510FAA67" w14:textId="77777777" w:rsidR="00BC7604" w:rsidRPr="00C172EA" w:rsidRDefault="00BC7604" w:rsidP="00BC7604">
      <w:pPr>
        <w:spacing w:after="0" w:line="360" w:lineRule="auto"/>
        <w:jc w:val="both"/>
        <w:rPr>
          <w:rFonts w:cs="Times New Roman"/>
        </w:rPr>
      </w:pPr>
    </w:p>
    <w:p w14:paraId="610903EA" w14:textId="77777777" w:rsidR="00BC7604" w:rsidRPr="00C172EA" w:rsidRDefault="00BC7604" w:rsidP="00BC7604">
      <w:pPr>
        <w:spacing w:after="0" w:line="360" w:lineRule="auto"/>
        <w:jc w:val="both"/>
        <w:rPr>
          <w:rFonts w:cs="Times New Roman"/>
        </w:rPr>
      </w:pPr>
    </w:p>
    <w:p w14:paraId="31E80153" w14:textId="77777777" w:rsidR="00BC7604" w:rsidRPr="00C172EA" w:rsidRDefault="00BC7604" w:rsidP="00BC7604">
      <w:pPr>
        <w:spacing w:after="0" w:line="360" w:lineRule="auto"/>
        <w:jc w:val="both"/>
        <w:rPr>
          <w:rFonts w:cs="Times New Roman"/>
        </w:rPr>
      </w:pPr>
    </w:p>
    <w:p w14:paraId="2C879469" w14:textId="77777777" w:rsidR="00BC7604" w:rsidRPr="00C172EA" w:rsidRDefault="00BC7604" w:rsidP="00BC7604">
      <w:pPr>
        <w:spacing w:after="0" w:line="360" w:lineRule="auto"/>
        <w:jc w:val="both"/>
        <w:rPr>
          <w:rFonts w:cs="Times New Roman"/>
        </w:rPr>
      </w:pPr>
    </w:p>
    <w:p w14:paraId="68555004" w14:textId="77777777" w:rsidR="00BC7604" w:rsidRPr="00C172EA" w:rsidRDefault="00BC7604" w:rsidP="00BC7604">
      <w:pPr>
        <w:spacing w:after="0" w:line="360" w:lineRule="auto"/>
        <w:jc w:val="both"/>
        <w:rPr>
          <w:rFonts w:cs="Times New Roman"/>
        </w:rPr>
      </w:pPr>
    </w:p>
    <w:p w14:paraId="2BEB9B6C" w14:textId="77777777" w:rsidR="00BC7604" w:rsidRPr="00C172EA" w:rsidRDefault="00BC7604" w:rsidP="00BC7604">
      <w:pPr>
        <w:spacing w:after="0" w:line="360" w:lineRule="auto"/>
        <w:jc w:val="both"/>
        <w:rPr>
          <w:rFonts w:cs="Times New Roman"/>
        </w:rPr>
      </w:pPr>
    </w:p>
    <w:p w14:paraId="08B63C47" w14:textId="77777777" w:rsidR="00BC7604" w:rsidRPr="00C172EA" w:rsidRDefault="00BC7604" w:rsidP="00BC7604">
      <w:pPr>
        <w:spacing w:after="0" w:line="360" w:lineRule="auto"/>
        <w:jc w:val="both"/>
        <w:rPr>
          <w:rFonts w:cs="Times New Roman"/>
        </w:rPr>
      </w:pPr>
    </w:p>
    <w:p w14:paraId="5233328E" w14:textId="77777777" w:rsidR="00BC7604" w:rsidRPr="00C172EA" w:rsidRDefault="00BC7604" w:rsidP="00BC7604">
      <w:pPr>
        <w:spacing w:after="0" w:line="360" w:lineRule="auto"/>
        <w:jc w:val="both"/>
        <w:rPr>
          <w:rFonts w:cs="Times New Roman"/>
        </w:rPr>
      </w:pPr>
    </w:p>
    <w:p w14:paraId="1127455C" w14:textId="77777777" w:rsidR="00BC7604" w:rsidRPr="00C172EA" w:rsidRDefault="00BC7604" w:rsidP="00BC7604">
      <w:pPr>
        <w:spacing w:after="0" w:line="360" w:lineRule="auto"/>
        <w:jc w:val="both"/>
        <w:rPr>
          <w:rFonts w:cs="Times New Roman"/>
        </w:rPr>
      </w:pPr>
    </w:p>
    <w:p w14:paraId="2A9C90BF" w14:textId="77777777" w:rsidR="00BC7604" w:rsidRPr="00C172EA" w:rsidRDefault="00BC7604" w:rsidP="00BC7604">
      <w:pPr>
        <w:spacing w:after="0" w:line="360" w:lineRule="auto"/>
        <w:jc w:val="both"/>
        <w:rPr>
          <w:rFonts w:cs="Times New Roman"/>
        </w:rPr>
      </w:pPr>
    </w:p>
    <w:p w14:paraId="5369BD50" w14:textId="77777777" w:rsidR="00BC7604" w:rsidRPr="00C172EA" w:rsidRDefault="00BC7604" w:rsidP="00BC7604">
      <w:pPr>
        <w:spacing w:after="0" w:line="360" w:lineRule="auto"/>
        <w:jc w:val="both"/>
        <w:rPr>
          <w:rFonts w:cs="Times New Roman"/>
        </w:rPr>
      </w:pPr>
    </w:p>
    <w:p w14:paraId="1A907C4F" w14:textId="77777777" w:rsidR="00BC7604" w:rsidRPr="00C172EA" w:rsidRDefault="00BC7604" w:rsidP="00BC7604">
      <w:pPr>
        <w:spacing w:after="0" w:line="360" w:lineRule="auto"/>
        <w:jc w:val="both"/>
        <w:rPr>
          <w:rFonts w:cs="Times New Roman"/>
        </w:rPr>
      </w:pPr>
    </w:p>
    <w:p w14:paraId="33FD98CC" w14:textId="77777777" w:rsidR="00BC7604" w:rsidRPr="00C172EA" w:rsidRDefault="00BC7604" w:rsidP="00BC7604">
      <w:pPr>
        <w:spacing w:after="0" w:line="360" w:lineRule="auto"/>
        <w:jc w:val="both"/>
        <w:rPr>
          <w:rFonts w:cs="Times New Roman"/>
        </w:rPr>
      </w:pPr>
    </w:p>
    <w:p w14:paraId="22DBA97F" w14:textId="77777777" w:rsidR="00BC7604" w:rsidRPr="00C172EA" w:rsidRDefault="00BC7604" w:rsidP="00BC7604">
      <w:pPr>
        <w:spacing w:after="0" w:line="360" w:lineRule="auto"/>
        <w:jc w:val="both"/>
        <w:rPr>
          <w:rFonts w:cs="Times New Roman"/>
        </w:rPr>
      </w:pPr>
    </w:p>
    <w:p w14:paraId="60022961" w14:textId="77777777" w:rsidR="00BC7604" w:rsidRPr="00C172EA" w:rsidRDefault="00BC7604" w:rsidP="00BC7604">
      <w:pPr>
        <w:spacing w:after="0" w:line="360" w:lineRule="auto"/>
        <w:jc w:val="both"/>
        <w:rPr>
          <w:rFonts w:cs="Times New Roman"/>
        </w:rPr>
      </w:pPr>
    </w:p>
    <w:p w14:paraId="15E5765B" w14:textId="77777777" w:rsidR="00BC7604" w:rsidRPr="00C172EA" w:rsidRDefault="00BC7604" w:rsidP="00BC7604">
      <w:pPr>
        <w:spacing w:after="0" w:line="360" w:lineRule="auto"/>
        <w:jc w:val="both"/>
        <w:rPr>
          <w:rFonts w:cs="Times New Roman"/>
        </w:rPr>
      </w:pPr>
    </w:p>
    <w:p w14:paraId="1EFA2E64" w14:textId="77777777" w:rsidR="00BC7604" w:rsidRDefault="00BC7604" w:rsidP="00BC7604">
      <w:pPr>
        <w:spacing w:after="60" w:line="360" w:lineRule="auto"/>
        <w:jc w:val="center"/>
        <w:rPr>
          <w:rFonts w:cs="Times New Roman"/>
          <w:b/>
        </w:rPr>
      </w:pPr>
      <w:r w:rsidRPr="00C27487">
        <w:rPr>
          <w:rFonts w:cs="Times New Roman"/>
          <w:b/>
        </w:rPr>
        <w:lastRenderedPageBreak/>
        <w:t>Resumo</w:t>
      </w:r>
    </w:p>
    <w:p w14:paraId="7ED2880B" w14:textId="77777777" w:rsidR="00BC7604" w:rsidRDefault="00BC7604" w:rsidP="00BC7604">
      <w:pPr>
        <w:spacing w:after="60" w:line="360" w:lineRule="auto"/>
        <w:jc w:val="both"/>
        <w:rPr>
          <w:rFonts w:cs="Times New Roman"/>
        </w:rPr>
      </w:pPr>
      <w:r w:rsidRPr="00C27487">
        <w:rPr>
          <w:rFonts w:cs="Times New Roman"/>
        </w:rPr>
        <w:t xml:space="preserve">O UTAUT2 é modelo desenvolvido para ser um ponto de partida para investigar a adoção de TI e pode ser usado para identificar os fatores que influenciam a intenção de usá-la, bem como para ser adotada por uma organização. Esta pesquisa tem como </w:t>
      </w:r>
      <w:r w:rsidRPr="00C27487">
        <w:rPr>
          <w:rFonts w:cs="Times New Roman"/>
          <w:szCs w:val="24"/>
        </w:rPr>
        <w:t>objetivo</w:t>
      </w:r>
      <w:r>
        <w:rPr>
          <w:rFonts w:cs="Times New Roman"/>
          <w:szCs w:val="24"/>
        </w:rPr>
        <w:t xml:space="preserve"> testar empiricamente a</w:t>
      </w:r>
      <w:r w:rsidRPr="00C27487">
        <w:rPr>
          <w:rFonts w:cs="Times New Roman"/>
          <w:szCs w:val="24"/>
        </w:rPr>
        <w:t xml:space="preserve"> validade do instrumento de mensuração da Teoria Unificada da Aceitação e Uso da Tecnologia </w:t>
      </w:r>
      <w:r>
        <w:rPr>
          <w:rFonts w:cs="Times New Roman"/>
          <w:szCs w:val="24"/>
        </w:rPr>
        <w:t xml:space="preserve">dentro do contexto </w:t>
      </w:r>
      <w:r w:rsidRPr="00C27487">
        <w:rPr>
          <w:rFonts w:cs="Times New Roman"/>
        </w:rPr>
        <w:t xml:space="preserve">de uma empresa </w:t>
      </w:r>
      <w:r>
        <w:rPr>
          <w:rFonts w:cs="Times New Roman"/>
        </w:rPr>
        <w:t xml:space="preserve">do oeste amazônico </w:t>
      </w:r>
      <w:r w:rsidRPr="00C27487">
        <w:rPr>
          <w:rFonts w:cs="Times New Roman"/>
        </w:rPr>
        <w:t>que passou pelo processo de implantação de um ERP</w:t>
      </w:r>
      <w:r w:rsidRPr="00C27487">
        <w:rPr>
          <w:rFonts w:cs="Times New Roman"/>
          <w:i/>
        </w:rPr>
        <w:t xml:space="preserve">. </w:t>
      </w:r>
      <w:r>
        <w:rPr>
          <w:rFonts w:cs="Times New Roman"/>
        </w:rPr>
        <w:t>Trata-se de uma pesquisa quantitativa, de corte transversal que utilizou levantamento amostral mediante questionário estruturado como forma de coleta de dados</w:t>
      </w:r>
      <w:r w:rsidRPr="00C27487">
        <w:rPr>
          <w:rFonts w:cs="Times New Roman"/>
        </w:rPr>
        <w:t xml:space="preserve">. </w:t>
      </w:r>
      <w:r>
        <w:rPr>
          <w:rFonts w:cs="Times New Roman"/>
        </w:rPr>
        <w:t>A técnica de análise de dados é</w:t>
      </w:r>
      <w:r w:rsidRPr="00C27487">
        <w:rPr>
          <w:rFonts w:cs="Times New Roman"/>
        </w:rPr>
        <w:t xml:space="preserve"> a </w:t>
      </w:r>
      <w:r>
        <w:rPr>
          <w:rFonts w:cs="Times New Roman"/>
        </w:rPr>
        <w:t>regressão múltipla</w:t>
      </w:r>
      <w:r w:rsidRPr="00C27487">
        <w:rPr>
          <w:rFonts w:cs="Times New Roman"/>
        </w:rPr>
        <w:t xml:space="preserve"> no </w:t>
      </w:r>
      <w:r w:rsidRPr="0020532D">
        <w:rPr>
          <w:rFonts w:cs="Times New Roman"/>
          <w:i/>
        </w:rPr>
        <w:t xml:space="preserve">software </w:t>
      </w:r>
      <w:proofErr w:type="spellStart"/>
      <w:r w:rsidRPr="0020532D">
        <w:rPr>
          <w:rFonts w:cs="Times New Roman"/>
          <w:i/>
        </w:rPr>
        <w:t>SmartPLS</w:t>
      </w:r>
      <w:proofErr w:type="spellEnd"/>
      <w:r w:rsidRPr="00C61300">
        <w:rPr>
          <w:rFonts w:cs="Times New Roman"/>
          <w:iCs/>
        </w:rPr>
        <w:t xml:space="preserve"> </w:t>
      </w:r>
      <w:r>
        <w:rPr>
          <w:rFonts w:cs="Times New Roman"/>
          <w:iCs/>
        </w:rPr>
        <w:t>4</w:t>
      </w:r>
      <w:r w:rsidRPr="00C27487">
        <w:rPr>
          <w:rFonts w:cs="Times New Roman"/>
        </w:rPr>
        <w:t xml:space="preserve">. Os resultados apontam para evidências de validade. </w:t>
      </w:r>
      <w:r>
        <w:rPr>
          <w:rFonts w:cs="Times New Roman"/>
        </w:rPr>
        <w:t xml:space="preserve">As variáveis aceitas no modelo foram Desempenho de Vendas, Frequência de Uso e Tempo de Uso. Demonstrando que as rotinas de utilização do ERP já estão internalizadas pelos usuários. </w:t>
      </w:r>
      <w:r w:rsidRPr="00C27487">
        <w:rPr>
          <w:rFonts w:cs="Times New Roman"/>
        </w:rPr>
        <w:t xml:space="preserve">Esta pesquisa contribui para a Teoria Unificada da Aceitação e Uso da Tecnologia (UTAUT) na medida, que é aplicada em diferentes ambientes, evidenciando características que </w:t>
      </w:r>
      <w:r>
        <w:rPr>
          <w:rFonts w:cs="Times New Roman"/>
        </w:rPr>
        <w:t>podem</w:t>
      </w:r>
      <w:r w:rsidRPr="00C27487">
        <w:rPr>
          <w:rFonts w:cs="Times New Roman"/>
        </w:rPr>
        <w:t xml:space="preserve"> permitir sua generalização. </w:t>
      </w:r>
    </w:p>
    <w:p w14:paraId="6DBA0667" w14:textId="77777777" w:rsidR="00BC7604" w:rsidRPr="00C27487" w:rsidRDefault="00BC7604" w:rsidP="00BC7604">
      <w:pPr>
        <w:spacing w:after="60" w:line="360" w:lineRule="auto"/>
        <w:jc w:val="both"/>
        <w:rPr>
          <w:rFonts w:cs="Times New Roman"/>
        </w:rPr>
      </w:pPr>
    </w:p>
    <w:p w14:paraId="149499BA" w14:textId="77777777" w:rsidR="00BC7604" w:rsidRPr="00936CB7" w:rsidRDefault="00BC7604" w:rsidP="00BC7604">
      <w:pPr>
        <w:spacing w:after="0" w:line="360" w:lineRule="auto"/>
        <w:jc w:val="both"/>
        <w:rPr>
          <w:rFonts w:cs="Times New Roman"/>
          <w:lang w:val="en-US"/>
        </w:rPr>
      </w:pPr>
      <w:r w:rsidRPr="00C27487">
        <w:rPr>
          <w:rFonts w:cs="Times New Roman"/>
          <w:b/>
        </w:rPr>
        <w:t>Palavras-Chave</w:t>
      </w:r>
      <w:r w:rsidRPr="00C27487">
        <w:rPr>
          <w:rFonts w:cs="Times New Roman"/>
        </w:rPr>
        <w:t xml:space="preserve">: </w:t>
      </w:r>
      <w:r>
        <w:rPr>
          <w:rFonts w:cs="Times New Roman"/>
        </w:rPr>
        <w:t xml:space="preserve">Utilização de Tecnologia. </w:t>
      </w:r>
      <w:r w:rsidRPr="00936CB7">
        <w:rPr>
          <w:rFonts w:cs="Times New Roman"/>
          <w:lang w:val="en-US"/>
        </w:rPr>
        <w:t xml:space="preserve">ERP. UTAUT2. Oeste </w:t>
      </w:r>
      <w:proofErr w:type="spellStart"/>
      <w:r w:rsidRPr="00936CB7">
        <w:rPr>
          <w:rFonts w:cs="Times New Roman"/>
          <w:lang w:val="en-US"/>
        </w:rPr>
        <w:t>Amazônico</w:t>
      </w:r>
      <w:proofErr w:type="spellEnd"/>
      <w:r w:rsidRPr="00936CB7">
        <w:rPr>
          <w:rFonts w:cs="Times New Roman"/>
          <w:lang w:val="en-US"/>
        </w:rPr>
        <w:t>.</w:t>
      </w:r>
    </w:p>
    <w:p w14:paraId="23DA353C" w14:textId="77777777" w:rsidR="00BC7604" w:rsidRPr="00936CB7" w:rsidRDefault="00BC7604" w:rsidP="00BC7604">
      <w:pPr>
        <w:spacing w:after="0" w:line="360" w:lineRule="auto"/>
        <w:jc w:val="both"/>
        <w:rPr>
          <w:rFonts w:cs="Times New Roman"/>
          <w:lang w:val="en-US"/>
        </w:rPr>
      </w:pPr>
    </w:p>
    <w:p w14:paraId="05390F46" w14:textId="77777777" w:rsidR="00BC7604" w:rsidRPr="00936CB7" w:rsidRDefault="00BC7604" w:rsidP="00BC7604">
      <w:pPr>
        <w:spacing w:after="0" w:line="360" w:lineRule="auto"/>
        <w:jc w:val="both"/>
        <w:rPr>
          <w:rFonts w:cs="Times New Roman"/>
          <w:lang w:val="en-US"/>
        </w:rPr>
      </w:pPr>
    </w:p>
    <w:p w14:paraId="790BA70D" w14:textId="77777777" w:rsidR="00BC7604" w:rsidRPr="00936CB7" w:rsidRDefault="00BC7604" w:rsidP="00BC7604">
      <w:pPr>
        <w:spacing w:after="0" w:line="360" w:lineRule="auto"/>
        <w:jc w:val="both"/>
        <w:rPr>
          <w:rFonts w:cs="Times New Roman"/>
          <w:lang w:val="en-US"/>
        </w:rPr>
      </w:pPr>
    </w:p>
    <w:p w14:paraId="4F148785" w14:textId="77777777" w:rsidR="00BC7604" w:rsidRPr="00936CB7" w:rsidRDefault="00BC7604" w:rsidP="00BC7604">
      <w:pPr>
        <w:spacing w:after="0" w:line="360" w:lineRule="auto"/>
        <w:jc w:val="both"/>
        <w:rPr>
          <w:rFonts w:cs="Times New Roman"/>
          <w:lang w:val="en-US"/>
        </w:rPr>
      </w:pPr>
    </w:p>
    <w:p w14:paraId="619FE570" w14:textId="77777777" w:rsidR="00BC7604" w:rsidRPr="00936CB7" w:rsidRDefault="00BC7604" w:rsidP="00BC7604">
      <w:pPr>
        <w:spacing w:after="0" w:line="360" w:lineRule="auto"/>
        <w:jc w:val="both"/>
        <w:rPr>
          <w:rFonts w:cs="Times New Roman"/>
          <w:lang w:val="en-US"/>
        </w:rPr>
      </w:pPr>
    </w:p>
    <w:p w14:paraId="4E31D7A6" w14:textId="77777777" w:rsidR="00BC7604" w:rsidRPr="00936CB7" w:rsidRDefault="00BC7604" w:rsidP="00BC7604">
      <w:pPr>
        <w:spacing w:after="0" w:line="360" w:lineRule="auto"/>
        <w:jc w:val="both"/>
        <w:rPr>
          <w:rFonts w:cs="Times New Roman"/>
          <w:lang w:val="en-US"/>
        </w:rPr>
      </w:pPr>
    </w:p>
    <w:p w14:paraId="692ACC9A" w14:textId="77777777" w:rsidR="00BC7604" w:rsidRPr="00936CB7" w:rsidRDefault="00BC7604" w:rsidP="00BC7604">
      <w:pPr>
        <w:spacing w:after="0" w:line="360" w:lineRule="auto"/>
        <w:jc w:val="both"/>
        <w:rPr>
          <w:rFonts w:cs="Times New Roman"/>
          <w:lang w:val="en-US"/>
        </w:rPr>
      </w:pPr>
    </w:p>
    <w:p w14:paraId="29F80CDC" w14:textId="77777777" w:rsidR="00BC7604" w:rsidRPr="00936CB7" w:rsidRDefault="00BC7604" w:rsidP="00BC7604">
      <w:pPr>
        <w:spacing w:after="0" w:line="360" w:lineRule="auto"/>
        <w:jc w:val="both"/>
        <w:rPr>
          <w:rFonts w:cs="Times New Roman"/>
          <w:lang w:val="en-US"/>
        </w:rPr>
      </w:pPr>
    </w:p>
    <w:p w14:paraId="2C121064" w14:textId="77777777" w:rsidR="00BC7604" w:rsidRPr="00936CB7" w:rsidRDefault="00BC7604" w:rsidP="00BC7604">
      <w:pPr>
        <w:spacing w:after="0" w:line="360" w:lineRule="auto"/>
        <w:jc w:val="both"/>
        <w:rPr>
          <w:rFonts w:cs="Times New Roman"/>
          <w:lang w:val="en-US"/>
        </w:rPr>
      </w:pPr>
    </w:p>
    <w:p w14:paraId="4C0B9635" w14:textId="77777777" w:rsidR="00BC7604" w:rsidRPr="00936CB7" w:rsidRDefault="00BC7604" w:rsidP="00BC7604">
      <w:pPr>
        <w:spacing w:after="0" w:line="360" w:lineRule="auto"/>
        <w:jc w:val="both"/>
        <w:rPr>
          <w:rFonts w:cs="Times New Roman"/>
          <w:lang w:val="en-US"/>
        </w:rPr>
      </w:pPr>
    </w:p>
    <w:p w14:paraId="738E4CD6" w14:textId="77777777" w:rsidR="00BC7604" w:rsidRPr="00936CB7" w:rsidRDefault="00BC7604" w:rsidP="00BC7604">
      <w:pPr>
        <w:spacing w:after="0" w:line="360" w:lineRule="auto"/>
        <w:jc w:val="both"/>
        <w:rPr>
          <w:rFonts w:cs="Times New Roman"/>
          <w:lang w:val="en-US"/>
        </w:rPr>
      </w:pPr>
    </w:p>
    <w:p w14:paraId="3526A8ED" w14:textId="77777777" w:rsidR="00BC7604" w:rsidRPr="00936CB7" w:rsidRDefault="00BC7604" w:rsidP="00BC7604">
      <w:pPr>
        <w:spacing w:after="0" w:line="360" w:lineRule="auto"/>
        <w:jc w:val="both"/>
        <w:rPr>
          <w:rFonts w:cs="Times New Roman"/>
          <w:lang w:val="en-US"/>
        </w:rPr>
      </w:pPr>
    </w:p>
    <w:p w14:paraId="272B5741" w14:textId="77777777" w:rsidR="00BC7604" w:rsidRPr="00936CB7" w:rsidRDefault="00BC7604" w:rsidP="00BC7604">
      <w:pPr>
        <w:spacing w:after="0" w:line="360" w:lineRule="auto"/>
        <w:jc w:val="both"/>
        <w:rPr>
          <w:rFonts w:cs="Times New Roman"/>
          <w:lang w:val="en-US"/>
        </w:rPr>
      </w:pPr>
    </w:p>
    <w:p w14:paraId="44BF1335" w14:textId="77777777" w:rsidR="00BC7604" w:rsidRPr="00936CB7" w:rsidRDefault="00BC7604" w:rsidP="00BC7604">
      <w:pPr>
        <w:spacing w:after="0" w:line="360" w:lineRule="auto"/>
        <w:jc w:val="both"/>
        <w:rPr>
          <w:rFonts w:cs="Times New Roman"/>
          <w:lang w:val="en-US"/>
        </w:rPr>
      </w:pPr>
    </w:p>
    <w:p w14:paraId="7150B3BD" w14:textId="77777777" w:rsidR="00BC7604" w:rsidRPr="00936CB7" w:rsidRDefault="00BC7604" w:rsidP="00BC7604">
      <w:pPr>
        <w:spacing w:after="0" w:line="360" w:lineRule="auto"/>
        <w:jc w:val="both"/>
        <w:rPr>
          <w:rFonts w:cs="Times New Roman"/>
          <w:lang w:val="en-US"/>
        </w:rPr>
      </w:pPr>
    </w:p>
    <w:p w14:paraId="400C518C" w14:textId="77777777" w:rsidR="00BC7604" w:rsidRDefault="00BC7604" w:rsidP="00BC7604">
      <w:pPr>
        <w:spacing w:after="0" w:line="360" w:lineRule="auto"/>
        <w:jc w:val="both"/>
        <w:rPr>
          <w:rFonts w:cs="Times New Roman"/>
          <w:lang w:val="en-US"/>
        </w:rPr>
      </w:pPr>
    </w:p>
    <w:p w14:paraId="33A13350" w14:textId="77777777" w:rsidR="00BC7604" w:rsidRPr="00936CB7" w:rsidRDefault="00BC7604" w:rsidP="00BC7604">
      <w:pPr>
        <w:spacing w:after="0" w:line="360" w:lineRule="auto"/>
        <w:jc w:val="both"/>
        <w:rPr>
          <w:rFonts w:cs="Times New Roman"/>
          <w:lang w:val="en-US"/>
        </w:rPr>
      </w:pPr>
    </w:p>
    <w:p w14:paraId="4A3A5A88" w14:textId="77777777" w:rsidR="00BC7604" w:rsidRPr="007B3FC0" w:rsidRDefault="00BC7604" w:rsidP="00BC7604">
      <w:pPr>
        <w:spacing w:after="0" w:line="360" w:lineRule="auto"/>
        <w:jc w:val="center"/>
        <w:rPr>
          <w:rFonts w:cs="Times New Roman"/>
          <w:b/>
          <w:bCs/>
          <w:lang w:val="en-US"/>
        </w:rPr>
      </w:pPr>
      <w:r w:rsidRPr="007B3FC0">
        <w:rPr>
          <w:rFonts w:cs="Times New Roman"/>
          <w:b/>
          <w:bCs/>
          <w:lang w:val="en-US"/>
        </w:rPr>
        <w:lastRenderedPageBreak/>
        <w:t>Abstract</w:t>
      </w:r>
    </w:p>
    <w:p w14:paraId="3BAFDE69" w14:textId="77777777" w:rsidR="00BC7604" w:rsidRPr="00936CB7" w:rsidRDefault="00BC7604" w:rsidP="00BC7604">
      <w:pPr>
        <w:spacing w:after="0" w:line="360" w:lineRule="auto"/>
        <w:jc w:val="both"/>
        <w:rPr>
          <w:rFonts w:cs="Times New Roman"/>
          <w:lang w:val="en-US"/>
        </w:rPr>
      </w:pPr>
      <w:r w:rsidRPr="00936CB7">
        <w:rPr>
          <w:rFonts w:cs="Times New Roman"/>
          <w:lang w:val="en-US"/>
        </w:rPr>
        <w:t xml:space="preserve">The UTAUT2 is a model developed to be a starting point for investigating the adoption of IT and can be used to identify the factors that influence the intention to use it, as well as to be adopted by an organization. The aim of this research is to empirically test the validity of the Unified Theory of Acceptance and Use of Technology measurement instrument within the context of a company in the western Amazon that has gone through the process of implementing an ERP. This is a quantitative, cross-sectional study that used a sample survey using a structured questionnaire as a means of data collection. The data analysis technique is multiple regression using </w:t>
      </w:r>
      <w:proofErr w:type="spellStart"/>
      <w:r w:rsidRPr="00936CB7">
        <w:rPr>
          <w:rFonts w:cs="Times New Roman"/>
          <w:lang w:val="en-US"/>
        </w:rPr>
        <w:t>SmartPLS</w:t>
      </w:r>
      <w:proofErr w:type="spellEnd"/>
      <w:r w:rsidRPr="00936CB7">
        <w:rPr>
          <w:rFonts w:cs="Times New Roman"/>
          <w:lang w:val="en-US"/>
        </w:rPr>
        <w:t xml:space="preserve"> 4 software. The results point to evidence of validity. </w:t>
      </w:r>
      <w:r w:rsidRPr="00FD4D4A">
        <w:rPr>
          <w:rFonts w:cs="Times New Roman"/>
          <w:lang w:val="en-US"/>
        </w:rPr>
        <w:t>The variables accepted in the model were Sales Performance, Frequency of Use and Time of Use.</w:t>
      </w:r>
      <w:r w:rsidRPr="00936CB7">
        <w:rPr>
          <w:rFonts w:cs="Times New Roman"/>
          <w:lang w:val="en-US"/>
        </w:rPr>
        <w:t xml:space="preserve"> This shows that the routines for using the ERP are already internalized by users. This research contributes to the Unified Theory of Acceptance and Use of Technology (UTAUT) to the extent that it is applied in different environments, highlighting characteristics that may allow it to be generalized. </w:t>
      </w:r>
    </w:p>
    <w:p w14:paraId="64F4352A" w14:textId="77777777" w:rsidR="00BC7604" w:rsidRPr="00936CB7" w:rsidRDefault="00BC7604" w:rsidP="00BC7604">
      <w:pPr>
        <w:spacing w:after="0" w:line="360" w:lineRule="auto"/>
        <w:jc w:val="both"/>
        <w:rPr>
          <w:rFonts w:cs="Times New Roman"/>
          <w:lang w:val="en-US"/>
        </w:rPr>
      </w:pPr>
    </w:p>
    <w:p w14:paraId="07A86FFE" w14:textId="77777777" w:rsidR="00BC7604" w:rsidRPr="00703827" w:rsidRDefault="00BC7604" w:rsidP="00BC7604">
      <w:pPr>
        <w:spacing w:after="0" w:line="360" w:lineRule="auto"/>
        <w:jc w:val="both"/>
        <w:rPr>
          <w:rFonts w:cs="Times New Roman"/>
        </w:rPr>
      </w:pPr>
      <w:r w:rsidRPr="00936CB7">
        <w:rPr>
          <w:rFonts w:cs="Times New Roman"/>
          <w:lang w:val="en-US"/>
        </w:rPr>
        <w:t xml:space="preserve">Keywords: Use of Technology. ERP. UTAUT2. </w:t>
      </w:r>
      <w:r w:rsidRPr="00703827">
        <w:rPr>
          <w:rFonts w:cs="Times New Roman"/>
        </w:rPr>
        <w:t xml:space="preserve">Western </w:t>
      </w:r>
      <w:proofErr w:type="spellStart"/>
      <w:r w:rsidRPr="00703827">
        <w:rPr>
          <w:rFonts w:cs="Times New Roman"/>
        </w:rPr>
        <w:t>Amazon</w:t>
      </w:r>
      <w:proofErr w:type="spellEnd"/>
      <w:r w:rsidRPr="00703827">
        <w:rPr>
          <w:rFonts w:cs="Times New Roman"/>
        </w:rPr>
        <w:t>.</w:t>
      </w:r>
    </w:p>
    <w:p w14:paraId="63DD0DAE" w14:textId="77777777" w:rsidR="00BC7604" w:rsidRPr="00703827" w:rsidRDefault="00BC7604" w:rsidP="00BC7604">
      <w:pPr>
        <w:spacing w:after="0" w:line="360" w:lineRule="auto"/>
        <w:jc w:val="both"/>
        <w:rPr>
          <w:rFonts w:cs="Times New Roman"/>
        </w:rPr>
      </w:pPr>
    </w:p>
    <w:p w14:paraId="3262C512" w14:textId="77777777" w:rsidR="00BC7604" w:rsidRPr="00703827" w:rsidRDefault="00BC7604" w:rsidP="00BC7604">
      <w:pPr>
        <w:spacing w:after="0" w:line="360" w:lineRule="auto"/>
        <w:jc w:val="both"/>
        <w:rPr>
          <w:rFonts w:cs="Times New Roman"/>
        </w:rPr>
      </w:pPr>
    </w:p>
    <w:p w14:paraId="122F1CDB" w14:textId="77777777" w:rsidR="00BC7604" w:rsidRPr="00703827" w:rsidRDefault="00BC7604" w:rsidP="00BC7604">
      <w:pPr>
        <w:spacing w:after="0" w:line="360" w:lineRule="auto"/>
        <w:jc w:val="both"/>
        <w:rPr>
          <w:rFonts w:cs="Times New Roman"/>
        </w:rPr>
      </w:pPr>
    </w:p>
    <w:p w14:paraId="3472C4D1" w14:textId="77777777" w:rsidR="00BC7604" w:rsidRPr="00703827" w:rsidRDefault="00BC7604" w:rsidP="00BC7604">
      <w:pPr>
        <w:spacing w:after="0" w:line="360" w:lineRule="auto"/>
        <w:jc w:val="both"/>
        <w:rPr>
          <w:rFonts w:cs="Times New Roman"/>
        </w:rPr>
      </w:pPr>
    </w:p>
    <w:p w14:paraId="31F555CD" w14:textId="77777777" w:rsidR="00BC7604" w:rsidRPr="00703827" w:rsidRDefault="00BC7604" w:rsidP="00BC7604">
      <w:pPr>
        <w:spacing w:after="0" w:line="360" w:lineRule="auto"/>
        <w:jc w:val="both"/>
        <w:rPr>
          <w:rFonts w:cs="Times New Roman"/>
        </w:rPr>
      </w:pPr>
    </w:p>
    <w:p w14:paraId="2BE96514" w14:textId="77777777" w:rsidR="00BC7604" w:rsidRPr="00703827" w:rsidRDefault="00BC7604" w:rsidP="00BC7604">
      <w:pPr>
        <w:spacing w:after="0" w:line="360" w:lineRule="auto"/>
        <w:jc w:val="both"/>
        <w:rPr>
          <w:rFonts w:cs="Times New Roman"/>
        </w:rPr>
      </w:pPr>
    </w:p>
    <w:p w14:paraId="33D76E4F" w14:textId="77777777" w:rsidR="00BC7604" w:rsidRPr="00703827" w:rsidRDefault="00BC7604" w:rsidP="00BC7604">
      <w:pPr>
        <w:spacing w:after="0" w:line="360" w:lineRule="auto"/>
        <w:jc w:val="both"/>
        <w:rPr>
          <w:rFonts w:cs="Times New Roman"/>
        </w:rPr>
      </w:pPr>
    </w:p>
    <w:p w14:paraId="6AAF8F75" w14:textId="77777777" w:rsidR="00BC7604" w:rsidRPr="00703827" w:rsidRDefault="00BC7604" w:rsidP="00BC7604">
      <w:pPr>
        <w:spacing w:after="0" w:line="360" w:lineRule="auto"/>
        <w:jc w:val="both"/>
        <w:rPr>
          <w:rFonts w:cs="Times New Roman"/>
        </w:rPr>
      </w:pPr>
    </w:p>
    <w:p w14:paraId="6C1F75A2" w14:textId="77777777" w:rsidR="00BC7604" w:rsidRPr="00703827" w:rsidRDefault="00BC7604" w:rsidP="00BC7604">
      <w:pPr>
        <w:spacing w:after="0" w:line="360" w:lineRule="auto"/>
        <w:jc w:val="both"/>
        <w:rPr>
          <w:rFonts w:cs="Times New Roman"/>
        </w:rPr>
      </w:pPr>
    </w:p>
    <w:p w14:paraId="0DF0CAE8" w14:textId="77777777" w:rsidR="00BC7604" w:rsidRPr="00703827" w:rsidRDefault="00BC7604" w:rsidP="00BC7604">
      <w:pPr>
        <w:spacing w:after="0" w:line="360" w:lineRule="auto"/>
        <w:jc w:val="both"/>
        <w:rPr>
          <w:rFonts w:cs="Times New Roman"/>
        </w:rPr>
      </w:pPr>
    </w:p>
    <w:p w14:paraId="69A4CDEB" w14:textId="77777777" w:rsidR="00BC7604" w:rsidRPr="00703827" w:rsidRDefault="00BC7604" w:rsidP="00BC7604">
      <w:pPr>
        <w:spacing w:after="0" w:line="360" w:lineRule="auto"/>
        <w:jc w:val="both"/>
        <w:rPr>
          <w:rFonts w:cs="Times New Roman"/>
        </w:rPr>
      </w:pPr>
    </w:p>
    <w:p w14:paraId="727C8D94" w14:textId="77777777" w:rsidR="00BC7604" w:rsidRPr="00703827" w:rsidRDefault="00BC7604" w:rsidP="00BC7604">
      <w:pPr>
        <w:spacing w:after="0" w:line="360" w:lineRule="auto"/>
        <w:jc w:val="both"/>
        <w:rPr>
          <w:rFonts w:cs="Times New Roman"/>
        </w:rPr>
      </w:pPr>
    </w:p>
    <w:p w14:paraId="2F506579" w14:textId="77777777" w:rsidR="00BC7604" w:rsidRPr="00703827" w:rsidRDefault="00BC7604" w:rsidP="00BC7604">
      <w:pPr>
        <w:spacing w:after="0" w:line="360" w:lineRule="auto"/>
        <w:jc w:val="both"/>
        <w:rPr>
          <w:rFonts w:cs="Times New Roman"/>
        </w:rPr>
      </w:pPr>
    </w:p>
    <w:p w14:paraId="3A518C6D" w14:textId="77777777" w:rsidR="00BC7604" w:rsidRPr="00703827" w:rsidRDefault="00BC7604" w:rsidP="00BC7604">
      <w:pPr>
        <w:spacing w:after="0" w:line="360" w:lineRule="auto"/>
        <w:jc w:val="both"/>
        <w:rPr>
          <w:rFonts w:cs="Times New Roman"/>
        </w:rPr>
      </w:pPr>
    </w:p>
    <w:p w14:paraId="658517A6" w14:textId="77777777" w:rsidR="00BC7604" w:rsidRPr="00703827" w:rsidRDefault="00BC7604" w:rsidP="00BC7604">
      <w:pPr>
        <w:spacing w:after="0" w:line="360" w:lineRule="auto"/>
        <w:jc w:val="both"/>
        <w:rPr>
          <w:rFonts w:cs="Times New Roman"/>
        </w:rPr>
      </w:pPr>
    </w:p>
    <w:p w14:paraId="3DE92448" w14:textId="77777777" w:rsidR="00BC7604" w:rsidRPr="00703827" w:rsidRDefault="00BC7604" w:rsidP="00BC7604">
      <w:pPr>
        <w:spacing w:after="0" w:line="360" w:lineRule="auto"/>
        <w:jc w:val="both"/>
        <w:rPr>
          <w:rFonts w:cs="Times New Roman"/>
        </w:rPr>
      </w:pPr>
    </w:p>
    <w:p w14:paraId="3421A3FE" w14:textId="77777777" w:rsidR="00BC7604" w:rsidRPr="00703827" w:rsidRDefault="00BC7604" w:rsidP="00BC7604">
      <w:pPr>
        <w:spacing w:after="0" w:line="360" w:lineRule="auto"/>
        <w:jc w:val="both"/>
        <w:rPr>
          <w:rFonts w:cs="Times New Roman"/>
        </w:rPr>
      </w:pPr>
    </w:p>
    <w:p w14:paraId="099D05D8" w14:textId="77777777" w:rsidR="00BC7604" w:rsidRPr="00703827" w:rsidRDefault="00BC7604" w:rsidP="00BC7604">
      <w:pPr>
        <w:spacing w:after="0" w:line="360" w:lineRule="auto"/>
        <w:jc w:val="both"/>
        <w:rPr>
          <w:rFonts w:cs="Times New Roman"/>
        </w:rPr>
      </w:pPr>
    </w:p>
    <w:p w14:paraId="67F5D648" w14:textId="77777777" w:rsidR="00BC7604" w:rsidRPr="00703827" w:rsidRDefault="00BC7604" w:rsidP="00BC7604">
      <w:pPr>
        <w:spacing w:after="0" w:line="360" w:lineRule="auto"/>
        <w:jc w:val="both"/>
        <w:rPr>
          <w:rFonts w:cs="Times New Roman"/>
        </w:rPr>
      </w:pPr>
    </w:p>
    <w:p w14:paraId="5D2A6571" w14:textId="5744BDDD" w:rsidR="00BC7604" w:rsidRDefault="005025D3" w:rsidP="00BC7604">
      <w:pPr>
        <w:spacing w:after="0" w:line="360" w:lineRule="auto"/>
        <w:jc w:val="center"/>
        <w:rPr>
          <w:b/>
          <w:bCs/>
        </w:rPr>
      </w:pPr>
      <w:r>
        <w:rPr>
          <w:b/>
          <w:bCs/>
        </w:rPr>
        <w:lastRenderedPageBreak/>
        <w:t xml:space="preserve">04 de </w:t>
      </w:r>
      <w:proofErr w:type="gramStart"/>
      <w:r>
        <w:rPr>
          <w:b/>
          <w:bCs/>
        </w:rPr>
        <w:t>Maio</w:t>
      </w:r>
      <w:proofErr w:type="gramEnd"/>
      <w:r>
        <w:rPr>
          <w:b/>
          <w:bCs/>
        </w:rPr>
        <w:t xml:space="preserve"> de 2024</w:t>
      </w:r>
    </w:p>
    <w:p w14:paraId="3E827F5C" w14:textId="77777777" w:rsidR="00BC7604" w:rsidRDefault="00BC7604" w:rsidP="00BC7604">
      <w:pPr>
        <w:spacing w:after="0" w:line="360" w:lineRule="auto"/>
        <w:jc w:val="center"/>
        <w:rPr>
          <w:b/>
          <w:bCs/>
        </w:rPr>
      </w:pPr>
    </w:p>
    <w:p w14:paraId="2F5CC80F" w14:textId="77777777" w:rsidR="00BC7604" w:rsidRDefault="00BC7604" w:rsidP="00BC7604">
      <w:pPr>
        <w:spacing w:after="0" w:line="360" w:lineRule="auto"/>
        <w:jc w:val="center"/>
        <w:rPr>
          <w:b/>
          <w:bCs/>
        </w:rPr>
      </w:pPr>
    </w:p>
    <w:p w14:paraId="1573C6E9" w14:textId="77777777" w:rsidR="00BC7604" w:rsidRDefault="00BC7604" w:rsidP="00BC7604">
      <w:pPr>
        <w:spacing w:after="0" w:line="360" w:lineRule="auto"/>
        <w:jc w:val="center"/>
        <w:rPr>
          <w:b/>
          <w:bCs/>
        </w:rPr>
      </w:pPr>
    </w:p>
    <w:p w14:paraId="15A29BDC" w14:textId="77777777" w:rsidR="00BC7604" w:rsidRDefault="00BC7604" w:rsidP="00BC7604">
      <w:pPr>
        <w:spacing w:after="0" w:line="360" w:lineRule="auto"/>
        <w:jc w:val="center"/>
        <w:rPr>
          <w:b/>
          <w:bCs/>
        </w:rPr>
      </w:pPr>
    </w:p>
    <w:p w14:paraId="1A41F7C7" w14:textId="77777777" w:rsidR="00BC7604" w:rsidRDefault="00BC7604" w:rsidP="00BC7604">
      <w:pPr>
        <w:spacing w:after="0" w:line="360" w:lineRule="auto"/>
        <w:jc w:val="center"/>
        <w:rPr>
          <w:b/>
          <w:bCs/>
        </w:rPr>
      </w:pPr>
    </w:p>
    <w:p w14:paraId="6FCB5140" w14:textId="77777777" w:rsidR="00BC7604" w:rsidRDefault="00BC7604" w:rsidP="00BC7604">
      <w:pPr>
        <w:spacing w:after="0" w:line="360" w:lineRule="auto"/>
        <w:jc w:val="center"/>
        <w:rPr>
          <w:b/>
          <w:bCs/>
        </w:rPr>
      </w:pPr>
    </w:p>
    <w:p w14:paraId="65F8FAC9" w14:textId="77777777" w:rsidR="00BC7604" w:rsidRDefault="00BC7604" w:rsidP="00BC7604">
      <w:pPr>
        <w:spacing w:after="0" w:line="360" w:lineRule="auto"/>
        <w:jc w:val="center"/>
        <w:rPr>
          <w:b/>
          <w:bCs/>
        </w:rPr>
      </w:pPr>
    </w:p>
    <w:p w14:paraId="1BB9D8A6" w14:textId="77777777" w:rsidR="00BC7604" w:rsidRDefault="00BC7604" w:rsidP="00BC7604">
      <w:pPr>
        <w:spacing w:after="0" w:line="360" w:lineRule="auto"/>
        <w:jc w:val="center"/>
        <w:rPr>
          <w:b/>
          <w:bCs/>
        </w:rPr>
      </w:pPr>
    </w:p>
    <w:p w14:paraId="43B913CC" w14:textId="77777777" w:rsidR="00BC7604" w:rsidRDefault="00BC7604" w:rsidP="00BC7604">
      <w:pPr>
        <w:spacing w:after="0" w:line="360" w:lineRule="auto"/>
        <w:jc w:val="center"/>
        <w:rPr>
          <w:b/>
          <w:bCs/>
        </w:rPr>
      </w:pPr>
    </w:p>
    <w:p w14:paraId="2E395B7E" w14:textId="77777777" w:rsidR="00BC7604" w:rsidRDefault="00BC7604" w:rsidP="00BC7604">
      <w:pPr>
        <w:spacing w:after="0" w:line="360" w:lineRule="auto"/>
        <w:jc w:val="center"/>
        <w:rPr>
          <w:b/>
          <w:bCs/>
        </w:rPr>
      </w:pPr>
    </w:p>
    <w:p w14:paraId="6977B734" w14:textId="77777777" w:rsidR="00BC7604" w:rsidRDefault="00BC7604" w:rsidP="00BC7604">
      <w:pPr>
        <w:spacing w:after="0" w:line="360" w:lineRule="auto"/>
        <w:jc w:val="center"/>
        <w:rPr>
          <w:b/>
          <w:bCs/>
        </w:rPr>
      </w:pPr>
    </w:p>
    <w:p w14:paraId="30BC3C34" w14:textId="77777777" w:rsidR="00BC7604" w:rsidRDefault="00BC7604" w:rsidP="00BC7604">
      <w:pPr>
        <w:spacing w:after="0" w:line="360" w:lineRule="auto"/>
        <w:jc w:val="center"/>
        <w:rPr>
          <w:b/>
          <w:bCs/>
        </w:rPr>
      </w:pPr>
    </w:p>
    <w:p w14:paraId="405E6976" w14:textId="77777777" w:rsidR="00BC7604" w:rsidRDefault="00BC7604" w:rsidP="00BC7604">
      <w:pPr>
        <w:spacing w:after="0" w:line="360" w:lineRule="auto"/>
        <w:jc w:val="center"/>
        <w:rPr>
          <w:b/>
          <w:bCs/>
        </w:rPr>
      </w:pPr>
    </w:p>
    <w:p w14:paraId="0100B427" w14:textId="77777777" w:rsidR="00BC7604" w:rsidRDefault="00BC7604" w:rsidP="00BC7604">
      <w:pPr>
        <w:spacing w:after="0" w:line="360" w:lineRule="auto"/>
        <w:jc w:val="center"/>
        <w:rPr>
          <w:b/>
          <w:bCs/>
        </w:rPr>
      </w:pPr>
    </w:p>
    <w:p w14:paraId="130BFF4F" w14:textId="77777777" w:rsidR="00BC7604" w:rsidRDefault="00BC7604" w:rsidP="00BC7604">
      <w:pPr>
        <w:spacing w:after="0" w:line="360" w:lineRule="auto"/>
        <w:jc w:val="center"/>
        <w:rPr>
          <w:b/>
          <w:bCs/>
        </w:rPr>
      </w:pPr>
    </w:p>
    <w:p w14:paraId="4E4E2396" w14:textId="77777777" w:rsidR="00BC7604" w:rsidRDefault="00BC7604" w:rsidP="00BC7604">
      <w:pPr>
        <w:spacing w:after="0" w:line="360" w:lineRule="auto"/>
        <w:jc w:val="center"/>
        <w:rPr>
          <w:b/>
          <w:bCs/>
        </w:rPr>
      </w:pPr>
    </w:p>
    <w:p w14:paraId="26B80514" w14:textId="77777777" w:rsidR="00BC7604" w:rsidRDefault="00BC7604" w:rsidP="00BC7604">
      <w:pPr>
        <w:spacing w:after="0" w:line="360" w:lineRule="auto"/>
        <w:jc w:val="center"/>
        <w:rPr>
          <w:b/>
          <w:bCs/>
        </w:rPr>
      </w:pPr>
    </w:p>
    <w:p w14:paraId="7CA7884F" w14:textId="77777777" w:rsidR="00BC7604" w:rsidRDefault="00BC7604" w:rsidP="00BC7604">
      <w:pPr>
        <w:spacing w:after="0" w:line="360" w:lineRule="auto"/>
        <w:jc w:val="center"/>
        <w:rPr>
          <w:b/>
          <w:bCs/>
        </w:rPr>
      </w:pPr>
    </w:p>
    <w:p w14:paraId="422539CE" w14:textId="77777777" w:rsidR="00BC7604" w:rsidRDefault="00BC7604" w:rsidP="00BC7604">
      <w:pPr>
        <w:spacing w:after="0" w:line="360" w:lineRule="auto"/>
        <w:jc w:val="center"/>
        <w:rPr>
          <w:b/>
          <w:bCs/>
        </w:rPr>
      </w:pPr>
    </w:p>
    <w:p w14:paraId="29277E76" w14:textId="77777777" w:rsidR="00BC7604" w:rsidRDefault="00BC7604" w:rsidP="00BC7604">
      <w:pPr>
        <w:spacing w:after="0" w:line="360" w:lineRule="auto"/>
        <w:jc w:val="center"/>
        <w:rPr>
          <w:b/>
          <w:bCs/>
        </w:rPr>
      </w:pPr>
    </w:p>
    <w:p w14:paraId="6B2B3A8C" w14:textId="77777777" w:rsidR="00BC7604" w:rsidRDefault="00BC7604" w:rsidP="00BC7604">
      <w:pPr>
        <w:spacing w:after="0" w:line="360" w:lineRule="auto"/>
        <w:jc w:val="center"/>
        <w:rPr>
          <w:b/>
          <w:bCs/>
        </w:rPr>
      </w:pPr>
    </w:p>
    <w:p w14:paraId="74720A36" w14:textId="77777777" w:rsidR="00BC7604" w:rsidRDefault="00BC7604" w:rsidP="00BC7604">
      <w:pPr>
        <w:spacing w:after="0" w:line="360" w:lineRule="auto"/>
        <w:jc w:val="center"/>
        <w:rPr>
          <w:b/>
          <w:bCs/>
        </w:rPr>
      </w:pPr>
    </w:p>
    <w:p w14:paraId="55FEB579" w14:textId="77777777" w:rsidR="00BC7604" w:rsidRDefault="00BC7604" w:rsidP="00BC7604">
      <w:pPr>
        <w:spacing w:after="0" w:line="360" w:lineRule="auto"/>
        <w:jc w:val="center"/>
        <w:rPr>
          <w:b/>
          <w:bCs/>
        </w:rPr>
      </w:pPr>
    </w:p>
    <w:p w14:paraId="2784C68A" w14:textId="77777777" w:rsidR="00BC7604" w:rsidRDefault="00BC7604" w:rsidP="00BC7604">
      <w:pPr>
        <w:spacing w:after="0" w:line="360" w:lineRule="auto"/>
        <w:jc w:val="center"/>
        <w:rPr>
          <w:b/>
          <w:bCs/>
        </w:rPr>
      </w:pPr>
    </w:p>
    <w:p w14:paraId="2BC15EF8" w14:textId="77777777" w:rsidR="00BC7604" w:rsidRDefault="00BC7604" w:rsidP="00BC7604">
      <w:pPr>
        <w:spacing w:after="0" w:line="360" w:lineRule="auto"/>
        <w:jc w:val="center"/>
        <w:rPr>
          <w:b/>
          <w:bCs/>
        </w:rPr>
      </w:pPr>
    </w:p>
    <w:p w14:paraId="34652AD5" w14:textId="77777777" w:rsidR="00BC7604" w:rsidRDefault="00BC7604" w:rsidP="00BC7604">
      <w:pPr>
        <w:spacing w:after="0" w:line="360" w:lineRule="auto"/>
        <w:jc w:val="center"/>
        <w:rPr>
          <w:b/>
          <w:bCs/>
        </w:rPr>
      </w:pPr>
    </w:p>
    <w:p w14:paraId="282905F2" w14:textId="77777777" w:rsidR="00BC7604" w:rsidRDefault="00BC7604" w:rsidP="00BC7604">
      <w:pPr>
        <w:spacing w:after="0" w:line="360" w:lineRule="auto"/>
        <w:jc w:val="center"/>
        <w:rPr>
          <w:b/>
          <w:bCs/>
        </w:rPr>
      </w:pPr>
    </w:p>
    <w:p w14:paraId="48D5E337" w14:textId="77777777" w:rsidR="00BC7604" w:rsidRDefault="00BC7604" w:rsidP="00BC7604">
      <w:pPr>
        <w:spacing w:after="0" w:line="360" w:lineRule="auto"/>
        <w:jc w:val="center"/>
        <w:rPr>
          <w:b/>
          <w:bCs/>
        </w:rPr>
      </w:pPr>
    </w:p>
    <w:p w14:paraId="507A87B3" w14:textId="77777777" w:rsidR="00BC7604" w:rsidRDefault="00BC7604" w:rsidP="00BC7604">
      <w:pPr>
        <w:spacing w:after="0" w:line="360" w:lineRule="auto"/>
        <w:jc w:val="center"/>
        <w:rPr>
          <w:b/>
          <w:bCs/>
        </w:rPr>
      </w:pPr>
    </w:p>
    <w:p w14:paraId="07B4CC40" w14:textId="77777777" w:rsidR="00BC7604" w:rsidRDefault="00BC7604" w:rsidP="00BC7604">
      <w:pPr>
        <w:spacing w:after="0" w:line="360" w:lineRule="auto"/>
        <w:jc w:val="center"/>
        <w:rPr>
          <w:b/>
          <w:bCs/>
        </w:rPr>
      </w:pPr>
    </w:p>
    <w:p w14:paraId="3E0C6E25" w14:textId="77777777" w:rsidR="00BC7604" w:rsidRDefault="00BC7604" w:rsidP="00BC7604">
      <w:pPr>
        <w:spacing w:after="0" w:line="360" w:lineRule="auto"/>
        <w:jc w:val="center"/>
        <w:rPr>
          <w:b/>
          <w:bCs/>
        </w:rPr>
      </w:pPr>
    </w:p>
    <w:p w14:paraId="547E97CA" w14:textId="77777777" w:rsidR="00056F5C" w:rsidRDefault="00056F5C" w:rsidP="00BC7604">
      <w:pPr>
        <w:spacing w:after="0" w:line="360" w:lineRule="auto"/>
        <w:jc w:val="center"/>
        <w:rPr>
          <w:b/>
          <w:bCs/>
        </w:rPr>
      </w:pPr>
    </w:p>
    <w:p w14:paraId="21697A17" w14:textId="77777777" w:rsidR="00BC7604" w:rsidRPr="007B3FC0" w:rsidRDefault="00BC7604" w:rsidP="002F4626">
      <w:pPr>
        <w:spacing w:after="0" w:line="360" w:lineRule="auto"/>
        <w:rPr>
          <w:rFonts w:cs="Times New Roman"/>
          <w:b/>
          <w:bCs/>
        </w:rPr>
      </w:pPr>
    </w:p>
    <w:p w14:paraId="667D914E" w14:textId="77777777" w:rsidR="00BC7604" w:rsidRPr="00C27487" w:rsidRDefault="00BC7604" w:rsidP="00BC7604">
      <w:pPr>
        <w:spacing w:after="80" w:line="360" w:lineRule="auto"/>
        <w:rPr>
          <w:rFonts w:cs="Times New Roman"/>
          <w:b/>
        </w:rPr>
      </w:pPr>
      <w:r w:rsidRPr="00C27487">
        <w:rPr>
          <w:rFonts w:cs="Times New Roman"/>
          <w:b/>
        </w:rPr>
        <w:lastRenderedPageBreak/>
        <w:t>1 INTRODUÇÃO</w:t>
      </w:r>
    </w:p>
    <w:p w14:paraId="7A3C4C14" w14:textId="28940861" w:rsidR="00BC7604" w:rsidRDefault="00BC7604" w:rsidP="00BC7604">
      <w:pPr>
        <w:spacing w:after="0" w:line="360" w:lineRule="auto"/>
        <w:ind w:firstLine="709"/>
        <w:jc w:val="both"/>
        <w:rPr>
          <w:rFonts w:cs="Times New Roman"/>
        </w:rPr>
      </w:pPr>
      <w:r w:rsidRPr="00C27487">
        <w:rPr>
          <w:rFonts w:cs="Times New Roman"/>
        </w:rPr>
        <w:t xml:space="preserve">O UTAUT foi </w:t>
      </w:r>
      <w:r w:rsidR="00BF3C90">
        <w:rPr>
          <w:rFonts w:cs="Times New Roman"/>
        </w:rPr>
        <w:t xml:space="preserve">um </w:t>
      </w:r>
      <w:r w:rsidRPr="00C27487">
        <w:rPr>
          <w:rFonts w:cs="Times New Roman"/>
        </w:rPr>
        <w:t>modelo desenvolvido para ser um ponto de partida para investigar a adoção de TI e pode ser usado para identificar os fatores que influenciam a intenção de usá-la, bem como para ser adotad</w:t>
      </w:r>
      <w:r w:rsidR="00BF3C90">
        <w:rPr>
          <w:rFonts w:cs="Times New Roman"/>
        </w:rPr>
        <w:t>o</w:t>
      </w:r>
      <w:r w:rsidRPr="00C27487">
        <w:rPr>
          <w:rFonts w:cs="Times New Roman"/>
        </w:rPr>
        <w:t xml:space="preserve"> </w:t>
      </w:r>
      <w:r>
        <w:rPr>
          <w:rFonts w:cs="Times New Roman"/>
        </w:rPr>
        <w:t>pelos usuários de uma</w:t>
      </w:r>
      <w:r w:rsidRPr="00C27487">
        <w:rPr>
          <w:rFonts w:cs="Times New Roman"/>
        </w:rPr>
        <w:t xml:space="preserve"> organização</w:t>
      </w:r>
      <w:r>
        <w:rPr>
          <w:rFonts w:cs="Times New Roman"/>
        </w:rPr>
        <w:t>, por exemplo</w:t>
      </w:r>
      <w:r w:rsidRPr="00C27487">
        <w:rPr>
          <w:rFonts w:cs="Times New Roman"/>
        </w:rPr>
        <w:t xml:space="preserve">. </w:t>
      </w:r>
      <w:r>
        <w:rPr>
          <w:rFonts w:cs="Times New Roman"/>
        </w:rPr>
        <w:t>Esse é um modelo</w:t>
      </w:r>
      <w:r w:rsidRPr="00145B0C">
        <w:rPr>
          <w:rFonts w:cs="Times New Roman"/>
        </w:rPr>
        <w:t xml:space="preserve"> que integra elementos de diversos </w:t>
      </w:r>
      <w:r>
        <w:rPr>
          <w:rFonts w:cs="Times New Roman"/>
        </w:rPr>
        <w:t>outros</w:t>
      </w:r>
      <w:r w:rsidRPr="00145B0C">
        <w:rPr>
          <w:rFonts w:cs="Times New Roman"/>
        </w:rPr>
        <w:t xml:space="preserve">, como TRA, TAM e TAM2. </w:t>
      </w:r>
      <w:r w:rsidRPr="00C27487">
        <w:rPr>
          <w:rFonts w:cs="Times New Roman"/>
        </w:rPr>
        <w:t>Oito construtos são fundamentais para determinar a intenção de uso em sistemas de TI. Quatro desses construtos são determinantes e influenciam diretamente na aceitação da tecnologia e o comportamento de uso: Expectativa de Desempenho, Expectativa de Esforço, Influência Social e Condições Facilitadoras. Outros quatro construtos são fatores moderadores e não influenciam diretamente à aceitação da tecnologia e o comportamento de uso: Gênero, Idade, Experiência e Voluntariedade.</w:t>
      </w:r>
      <w:r w:rsidRPr="00085DED">
        <w:rPr>
          <w:rFonts w:cs="Times New Roman"/>
        </w:rPr>
        <w:t xml:space="preserve"> </w:t>
      </w:r>
      <w:r w:rsidRPr="00C27487">
        <w:rPr>
          <w:rFonts w:cs="Times New Roman"/>
        </w:rPr>
        <w:t>A Teoria Unificada de Aceitação e Uso da Tecnologia – UTAUT (</w:t>
      </w:r>
      <w:proofErr w:type="spellStart"/>
      <w:r w:rsidRPr="00C27487">
        <w:rPr>
          <w:rFonts w:cs="Times New Roman"/>
          <w:i/>
        </w:rPr>
        <w:t>Unified</w:t>
      </w:r>
      <w:proofErr w:type="spellEnd"/>
      <w:r w:rsidRPr="00C27487">
        <w:rPr>
          <w:rFonts w:cs="Times New Roman"/>
          <w:i/>
        </w:rPr>
        <w:t xml:space="preserve"> </w:t>
      </w:r>
      <w:proofErr w:type="spellStart"/>
      <w:r w:rsidRPr="00C27487">
        <w:rPr>
          <w:rFonts w:cs="Times New Roman"/>
          <w:i/>
        </w:rPr>
        <w:t>Theory</w:t>
      </w:r>
      <w:proofErr w:type="spellEnd"/>
      <w:r w:rsidRPr="00C27487">
        <w:rPr>
          <w:rFonts w:cs="Times New Roman"/>
          <w:i/>
        </w:rPr>
        <w:t xml:space="preserve"> </w:t>
      </w:r>
      <w:proofErr w:type="spellStart"/>
      <w:r w:rsidRPr="00C27487">
        <w:rPr>
          <w:rFonts w:cs="Times New Roman"/>
          <w:i/>
        </w:rPr>
        <w:t>of</w:t>
      </w:r>
      <w:proofErr w:type="spellEnd"/>
      <w:r w:rsidRPr="00C27487">
        <w:rPr>
          <w:rFonts w:cs="Times New Roman"/>
          <w:i/>
        </w:rPr>
        <w:t xml:space="preserve"> </w:t>
      </w:r>
      <w:proofErr w:type="spellStart"/>
      <w:r w:rsidRPr="00C27487">
        <w:rPr>
          <w:rFonts w:cs="Times New Roman"/>
          <w:i/>
        </w:rPr>
        <w:t>Acceptance</w:t>
      </w:r>
      <w:proofErr w:type="spellEnd"/>
      <w:r w:rsidRPr="00C27487">
        <w:rPr>
          <w:rFonts w:cs="Times New Roman"/>
          <w:i/>
        </w:rPr>
        <w:t xml:space="preserve"> </w:t>
      </w:r>
      <w:proofErr w:type="spellStart"/>
      <w:r w:rsidRPr="00C27487">
        <w:rPr>
          <w:rFonts w:cs="Times New Roman"/>
          <w:i/>
        </w:rPr>
        <w:t>and</w:t>
      </w:r>
      <w:proofErr w:type="spellEnd"/>
      <w:r w:rsidRPr="00C27487">
        <w:rPr>
          <w:rFonts w:cs="Times New Roman"/>
          <w:i/>
        </w:rPr>
        <w:t xml:space="preserve"> Use </w:t>
      </w:r>
      <w:proofErr w:type="spellStart"/>
      <w:r w:rsidRPr="00C27487">
        <w:rPr>
          <w:rFonts w:cs="Times New Roman"/>
          <w:i/>
        </w:rPr>
        <w:t>of</w:t>
      </w:r>
      <w:proofErr w:type="spellEnd"/>
      <w:r w:rsidRPr="00C27487">
        <w:rPr>
          <w:rFonts w:cs="Times New Roman"/>
          <w:i/>
        </w:rPr>
        <w:t xml:space="preserve"> Technology</w:t>
      </w:r>
      <w:r w:rsidRPr="00C27487">
        <w:rPr>
          <w:rFonts w:cs="Times New Roman"/>
        </w:rPr>
        <w:t>) é considerad</w:t>
      </w:r>
      <w:r w:rsidR="00BF3C90">
        <w:rPr>
          <w:rFonts w:cs="Times New Roman"/>
        </w:rPr>
        <w:t>a</w:t>
      </w:r>
      <w:r w:rsidRPr="00C27487">
        <w:rPr>
          <w:rFonts w:cs="Times New Roman"/>
        </w:rPr>
        <w:t xml:space="preserve"> o modelo mais completo, uma vez que </w:t>
      </w:r>
      <w:r w:rsidRPr="00C27487">
        <w:rPr>
          <w:rFonts w:cs="Times New Roman"/>
          <w:color w:val="000000" w:themeColor="text1"/>
        </w:rPr>
        <w:t>abrange outros oito estudos sobre aceitação de tecnologia e os unifica em um único modelo (SILVA, 2015)</w:t>
      </w:r>
      <w:r w:rsidRPr="00C27487">
        <w:rPr>
          <w:rFonts w:cs="Times New Roman"/>
        </w:rPr>
        <w:t>.</w:t>
      </w:r>
      <w:r>
        <w:rPr>
          <w:rFonts w:cs="Times New Roman"/>
        </w:rPr>
        <w:t xml:space="preserve"> </w:t>
      </w:r>
      <w:r w:rsidRPr="00C27487">
        <w:rPr>
          <w:rFonts w:cs="Times New Roman"/>
        </w:rPr>
        <w:t>Novas variáveis incluídas no UTAUT2 (Motivação Hedônica, Preço e Hábito)</w:t>
      </w:r>
      <w:r>
        <w:rPr>
          <w:rFonts w:cs="Times New Roman"/>
        </w:rPr>
        <w:t xml:space="preserve">, proposto por </w:t>
      </w:r>
      <w:proofErr w:type="spellStart"/>
      <w:r w:rsidRPr="00C27487">
        <w:rPr>
          <w:rFonts w:cs="Times New Roman"/>
        </w:rPr>
        <w:t>Venkatesh</w:t>
      </w:r>
      <w:proofErr w:type="spellEnd"/>
      <w:r w:rsidRPr="00C27487">
        <w:rPr>
          <w:rFonts w:cs="Times New Roman"/>
        </w:rPr>
        <w:t xml:space="preserve"> </w:t>
      </w:r>
      <w:r w:rsidRPr="00BF3C90">
        <w:rPr>
          <w:rFonts w:cs="Times New Roman"/>
          <w:i/>
        </w:rPr>
        <w:t>et al</w:t>
      </w:r>
      <w:r>
        <w:rPr>
          <w:rFonts w:cs="Times New Roman"/>
        </w:rPr>
        <w:t>.</w:t>
      </w:r>
      <w:r w:rsidRPr="00C27487">
        <w:rPr>
          <w:rFonts w:cs="Times New Roman"/>
        </w:rPr>
        <w:t xml:space="preserve"> (2012)</w:t>
      </w:r>
      <w:r>
        <w:rPr>
          <w:rFonts w:cs="Times New Roman"/>
        </w:rPr>
        <w:t>,</w:t>
      </w:r>
      <w:r w:rsidRPr="00C27487">
        <w:rPr>
          <w:rFonts w:cs="Times New Roman"/>
        </w:rPr>
        <w:t xml:space="preserve"> </w:t>
      </w:r>
      <w:r>
        <w:rPr>
          <w:rFonts w:cs="Times New Roman"/>
        </w:rPr>
        <w:t>trazendo</w:t>
      </w:r>
      <w:r w:rsidRPr="00C27487">
        <w:rPr>
          <w:rFonts w:cs="Times New Roman"/>
        </w:rPr>
        <w:t xml:space="preserve"> novas perspectivas para o entendimento da aceitação e do uso de tecnologia por parte dos indivíduos no contexto do consumo.</w:t>
      </w:r>
    </w:p>
    <w:p w14:paraId="763F86EF" w14:textId="77777777" w:rsidR="00BC7604" w:rsidRDefault="00BC7604" w:rsidP="00BC7604">
      <w:pPr>
        <w:spacing w:after="0" w:line="360" w:lineRule="auto"/>
        <w:ind w:firstLine="709"/>
        <w:jc w:val="both"/>
        <w:rPr>
          <w:rFonts w:cs="Times New Roman"/>
        </w:rPr>
      </w:pPr>
      <w:r>
        <w:rPr>
          <w:rFonts w:cs="Times New Roman"/>
        </w:rPr>
        <w:t xml:space="preserve">Visto que esse modelo representa o estado da arte na avaliação do comportamento de utilização de tecnologias, além de englobar aspectos de consumo, foi o escolhido para analisar os fatores que explicam utilização em uma empresa do oeste amazônico. Pesquisas de revisão sistemática da literatura sobre o UTAUT/UTAUT2 </w:t>
      </w:r>
      <w:r w:rsidRPr="00145B0C">
        <w:rPr>
          <w:rFonts w:cs="Times New Roman"/>
        </w:rPr>
        <w:fldChar w:fldCharType="begin" w:fldLock="1"/>
      </w:r>
      <w:r w:rsidRPr="00145B0C">
        <w:rPr>
          <w:rFonts w:cs="Times New Roman"/>
        </w:rPr>
        <w:instrText>ADDIN CSL_CITATION {"citationItems":[{"id":"ITEM-1","itemData":{"DOI":"10.21512/tw.v13i2.656","ISSN":"2541-2388","abstract":"This study reviews the most recent literature on UTAUT (Unified Theory of Acceptance, and Use of Technology) and UTAUT 2(Unified Theory of Acceptance, and Use of Technology) 2 by focusing on the findings and recommended future research. The papers, proceedings and dissertations included in the analysis were identified technology acceptance as the focus of their studies. This search was supplemented various websites which host scientific journals such as Emerald, Science Direct and Google Scholar. The initial search produced 65 papers. The studies examined works which employed UTAUT and UTAUT 2 by focusing on findings on the core constructs of UTAUT to predict Behavioral Intentions. The results confirmed previous studies that the four constructs of UTAUT contributed to Behavioral Intention even though PE seemed to be the most significant contributors. Findings also suggest UTAUT 2 has been more explanatory and list the suggestions for future works. The immediate implications are for researchers who wish to examine behavioral intentions, and managers who wish to ensure the acceptance and use of a new system or technology. This study bears a number of limitations. Number of papers examined is one of them. It would be more accurate to increase the number of paper examined. The other limitation is the ability to draw a statistical conclusion each research examined. This is due to a great variety of research topics, methods, constructs and contexts.","author":[{"dropping-particle":"","family":"Chang","given":"Andreas","non-dropping-particle":"","parse-names":false,"suffix":""}],"container-title":"The Winners","id":"ITEM-1","issue":"2","issued":{"date-parts":[["2012","9","28"]]},"page":"10","publisher":"Universitas Bina Nusantara","title":"UTAUT and UTAUT 2: A Review and Agenda for Future Research","type":"article-journal","volume":"13"},"uris":["http://www.mendeley.com/documents/?uuid=62fefeda-7a7b-3d7c-9048-c9686043ae42"]},{"id":"ITEM-2","itemData":{"DOI":"10.1007/978-3-642-24148-2_10","abstract":"The originating article of the Unified Theory of Acceptance and Use of Technology (UTAUT) has been cited by a large number of studies. However, a detailed examination of such citations revealed that only small proportion (43 articles) of these citations actually utilized the theory or its constructs in their empirical research for examining IS/IT related issues. In order to examine whether the theory is performing consistently well across various studies, this research aims to undertake a statistical meta-analysis of findings reported in 43 published studies that have actually utilized UTAUT or its constructs in their empirical research. Findings reveal the underperformance of theory in subsequent studies in comparison to the performance of UTAUT reported in the originating article. The limitations experienced while conducting the meta-analysis, recommendations, and the future scope for the further research in this area have also been briefly explained in concluding section.","author":[{"dropping-particle":"","family":"Dwivedi","given":"Yogesh K","non-dropping-particle":"","parse-names":false,"suffix":""},{"dropping-particle":"","family":"Rana","given":"Nripendra P","non-dropping-particle":"","parse-names":false,"suffix":""},{"dropping-particle":"","family":"Chen","given":"Hsin","non-dropping-particle":"","parse-names":false,"suffix":""},{"dropping-particle":"","family":"Williams","given":"Michael D","non-dropping-particle":"","parse-names":false,"suffix":""}],"id":"ITEM-2","issued":{"date-parts":[["2011"]]},"page":"155-170","title":"A Meta-analysis of the Unified Theory of Acceptance and Use of Technology (UTAUT)","type":"chapter"},"uris":["http://www.mendeley.com/documents/?uuid=90a8629c-d22d-3e33-bdb5-84638e2e1466"]},{"id":"ITEM-3","itemData":{"DOI":"10.1108/JEIM-09-2014-0088","ISSN":"1741-0398","abstract":"Purpose-The purpose of this paper is to perform a systematic review of articles that have used the unified theory of acceptance and use of technology (UTAUT). Design/methodology/approach-The results produced in this research are based on the literature analysis of 174 existing articles on the UTAUT model. This has been performed by collecting data including demographic details, methodological details, limitations, and significance of relationships between the constructs from the available articles based on the UTAUT. Findings-The findings indicated that general purpose systems and specialized business systems were examined in the majority of the articles using the UTAUT. The analysis also indicated that cross-sectional approach, survey methods, and structural equation modelling analysis techniques were the most explored research methodologies whereas SPSS was found to be the largely used analysis tools. Moreover, the weight analysis of independent variables indicates that variables such as performance expectancy and behavioural intention qualified for the best predictor category. Moreover, the analysis also suggested that single subject or biased sample as the most explored limitation across all studies. Research limitations/implications-The search activities were centered on occurrences of keywords to avoid tracing a large number of publications where these keywords might have been used as casual words in the main text. However, we acknowledge that there may be a number of studies, which lack keywords in the title, but still focus upon UTAUT in some form. Originality/value-This is the first research of its type which has extensively examined the literature on the UTAUT and provided the researchers with the accumulative knowledge about the model.","author":[{"dropping-particle":"","family":"Williams","given":"Michael D","non-dropping-particle":"","parse-names":false,"suffix":""},{"dropping-particle":"","family":"Rana","given":"Nripendra P","non-dropping-particle":"","parse-names":false,"suffix":""},{"dropping-particle":"","family":"Dwivedi","given":"Yogesh K","non-dropping-particle":"","parse-names":false,"suffix":""}],"container-title":"Journal of Enterprise Information Management","id":"ITEM-3","issue":"3","issued":{"date-parts":[["2015","4","13"]]},"page":"443-488","title":"The unified theory of acceptance and use of technology (UTAUT): a literature review","type":"article-journal","volume":"28"},"uris":["http://www.mendeley.com/documents/?uuid=d14053a0-ce08-3bac-9a96-959c50f18485"]},{"id":"ITEM-4","itemData":{"DOI":"10.1007/s10796-017-9774-y","ISSN":"1387-3326","abstract":"Based on a critical review of the Unified Theory of Acceptance and Use of Technology (UTAUT), this study first formalized an alternative theoretical model for explaining the acceptance and use of information system (IS) and information technology (IT) innovations. The revised theoretical model was then empirically examined using a combination of meta-analysis and structural equation modelling (MASEM) techniques. The meta-analysis was based on 1600 observations on 21 relationships coded from 162 prior studies on IS/ IT acceptance and use. The SEM analysis showed that attitude: was central to behavioural intentions and usage behaviours , partially mediated the effects of exogenous constructs on behavioural intentions, and had a direct influence on usage behaviours. A number of implications fo</w:instrText>
      </w:r>
      <w:r w:rsidRPr="000E69E6">
        <w:rPr>
          <w:rFonts w:cs="Times New Roman"/>
        </w:rPr>
        <w:instrText>r theory and practice are derived based on the findings.","author":[{"dropping-particle":"","family":"Dwivedi","given":"Yogesh K","non-dropping-particle":"","parse-names":false,"suffix":""},{"dropping-particle":"","family":"Rana","given":"Nripendra P","non-dropping-particle":"","parse-names":false,"suffix":""},{"dropping-particle":"","family":"Jeyaraj","given":"Anand","non-dropping-particle":"","parse-names":false,"suffix":""},{"dropping-particle":"","family":"Clement","given":"Marc","non-dropping-particle":"","parse-names":false,"suffix":""},{"dropping-particle":"","family":"Williams","given":"Michael D","non-dropping-particle":"","parse-names":false,"suffix":""}],"container-title":"Information Systems Frontiers","id":"ITEM-4","issue":"3","issued":{"date-parts":[["2019","6","8"]]},"page":"719-734","title":"Re-examining the Unified Theory of Acceptance and Use of Technology (UTAUT): Towards a Revised Theoretical Model","type":"article-journal","volume":"21"},"uris":["http://www.mendeley.com/documents/?uuid=bb5e7780-ec0c-3d48-855b-92fa43491cb5"]}],"mendeley":{"formattedCitation":"(CHANG, 2012; DWIVEDI et al., 2011, 2019; WILLIAMS; RANA; DWIVEDI, 2015)","plainTextFormattedCitation":"(CHANG, 2012; DWIVEDI et al., 2011, 2019; WILLIAMS; RANA; DWIVEDI, 2015)","previouslyFormattedCitation":"(CHANG, 2012; DWIVEDI et al., 2011, 2019; WILLIAMS; RANA; DWIVEDI, 2015)"},"properties":{"noteIndex":0},"schema":"https://github.com/citation-style-language/schema/raw/master/csl-citation.json"}</w:instrText>
      </w:r>
      <w:r w:rsidRPr="00145B0C">
        <w:rPr>
          <w:rFonts w:cs="Times New Roman"/>
        </w:rPr>
        <w:fldChar w:fldCharType="separate"/>
      </w:r>
      <w:r w:rsidRPr="000E69E6">
        <w:rPr>
          <w:rFonts w:cs="Times New Roman"/>
        </w:rPr>
        <w:t>(CHANG, 2012; DWIVEDI et al., 2011, 2019; WILLIAMS; RANA; DWIVEDI, 2015)</w:t>
      </w:r>
      <w:r w:rsidRPr="00145B0C">
        <w:rPr>
          <w:rFonts w:cs="Times New Roman"/>
        </w:rPr>
        <w:fldChar w:fldCharType="end"/>
      </w:r>
      <w:r>
        <w:rPr>
          <w:rFonts w:cs="Times New Roman"/>
        </w:rPr>
        <w:t xml:space="preserve"> mostram que poucos estudos foram publicados sobre os </w:t>
      </w:r>
      <w:proofErr w:type="spellStart"/>
      <w:r>
        <w:rPr>
          <w:rFonts w:cs="Times New Roman"/>
        </w:rPr>
        <w:t>ERPs</w:t>
      </w:r>
      <w:proofErr w:type="spellEnd"/>
      <w:r>
        <w:rPr>
          <w:rFonts w:cs="Times New Roman"/>
        </w:rPr>
        <w:t xml:space="preserve">, tipo de sistema de informação empresarial do presente estudo. </w:t>
      </w:r>
    </w:p>
    <w:p w14:paraId="7E287FC6" w14:textId="52A24B43" w:rsidR="00BC7604" w:rsidRPr="00C27487" w:rsidRDefault="00BC7604" w:rsidP="00BC7604">
      <w:pPr>
        <w:spacing w:after="0" w:line="360" w:lineRule="auto"/>
        <w:ind w:firstLine="708"/>
        <w:jc w:val="both"/>
        <w:rPr>
          <w:rFonts w:cs="Times New Roman"/>
        </w:rPr>
      </w:pPr>
      <w:r w:rsidRPr="000A7EA3">
        <w:rPr>
          <w:rFonts w:cs="Times New Roman"/>
        </w:rPr>
        <w:t xml:space="preserve">Em relação às características da amostra, no levantamento da literatura realizado por Williams, </w:t>
      </w:r>
      <w:proofErr w:type="spellStart"/>
      <w:r w:rsidRPr="000A7EA3">
        <w:rPr>
          <w:rFonts w:cs="Times New Roman"/>
        </w:rPr>
        <w:t>Rana</w:t>
      </w:r>
      <w:proofErr w:type="spellEnd"/>
      <w:r w:rsidRPr="000A7EA3">
        <w:rPr>
          <w:rFonts w:cs="Times New Roman"/>
        </w:rPr>
        <w:t xml:space="preserve"> e </w:t>
      </w:r>
      <w:proofErr w:type="spellStart"/>
      <w:r w:rsidRPr="000A7EA3">
        <w:rPr>
          <w:rFonts w:cs="Times New Roman"/>
        </w:rPr>
        <w:t>Dwivedi</w:t>
      </w:r>
      <w:proofErr w:type="spellEnd"/>
      <w:r w:rsidRPr="000A7EA3">
        <w:rPr>
          <w:rFonts w:cs="Times New Roman"/>
        </w:rPr>
        <w:t xml:space="preserve"> (2015), os autores mencionam encontraram que</w:t>
      </w:r>
      <w:r w:rsidR="00BF3C90">
        <w:rPr>
          <w:rFonts w:cs="Times New Roman"/>
        </w:rPr>
        <w:t>,</w:t>
      </w:r>
      <w:r w:rsidRPr="000A7EA3">
        <w:rPr>
          <w:rFonts w:cs="Times New Roman"/>
        </w:rPr>
        <w:t xml:space="preserve"> </w:t>
      </w:r>
      <w:r w:rsidR="00BF3C90">
        <w:rPr>
          <w:rFonts w:cs="Times New Roman"/>
        </w:rPr>
        <w:t>n</w:t>
      </w:r>
      <w:r w:rsidRPr="000A7EA3">
        <w:rPr>
          <w:rFonts w:cs="Times New Roman"/>
        </w:rPr>
        <w:t xml:space="preserve">a maioria dos 174 artigos analisados sobre o UTAUT, são realizadas pesquisas com estudantes e em um contexto norte-americano. O presente trabalho traz uma análise com trabalhadores brasileiros das regiões </w:t>
      </w:r>
      <w:r w:rsidR="00BF3C90">
        <w:rPr>
          <w:rFonts w:cs="Times New Roman"/>
        </w:rPr>
        <w:t>C</w:t>
      </w:r>
      <w:r w:rsidRPr="000A7EA3">
        <w:rPr>
          <w:rFonts w:cs="Times New Roman"/>
        </w:rPr>
        <w:t>entro-</w:t>
      </w:r>
      <w:r w:rsidR="00BF3C90">
        <w:rPr>
          <w:rFonts w:cs="Times New Roman"/>
        </w:rPr>
        <w:t>O</w:t>
      </w:r>
      <w:r w:rsidRPr="000A7EA3">
        <w:rPr>
          <w:rFonts w:cs="Times New Roman"/>
        </w:rPr>
        <w:t xml:space="preserve">este e </w:t>
      </w:r>
      <w:r w:rsidR="00BF3C90">
        <w:rPr>
          <w:rFonts w:cs="Times New Roman"/>
        </w:rPr>
        <w:t>N</w:t>
      </w:r>
      <w:r w:rsidRPr="000A7EA3">
        <w:rPr>
          <w:rFonts w:cs="Times New Roman"/>
        </w:rPr>
        <w:t>orte, região menos pesquisada que as grandes metrópoles da</w:t>
      </w:r>
      <w:r w:rsidR="00BF3C90">
        <w:rPr>
          <w:rFonts w:cs="Times New Roman"/>
        </w:rPr>
        <w:t>s</w:t>
      </w:r>
      <w:r w:rsidRPr="000A7EA3">
        <w:rPr>
          <w:rFonts w:cs="Times New Roman"/>
        </w:rPr>
        <w:t xml:space="preserve"> regi</w:t>
      </w:r>
      <w:r w:rsidR="00BF3C90">
        <w:rPr>
          <w:rFonts w:cs="Times New Roman"/>
        </w:rPr>
        <w:t>ões</w:t>
      </w:r>
      <w:r w:rsidRPr="000A7EA3">
        <w:rPr>
          <w:rFonts w:cs="Times New Roman"/>
        </w:rPr>
        <w:t xml:space="preserve"> </w:t>
      </w:r>
      <w:r w:rsidR="00BF3C90">
        <w:rPr>
          <w:rFonts w:cs="Times New Roman"/>
        </w:rPr>
        <w:t>S</w:t>
      </w:r>
      <w:r w:rsidRPr="000A7EA3">
        <w:rPr>
          <w:rFonts w:cs="Times New Roman"/>
        </w:rPr>
        <w:t xml:space="preserve">ul e </w:t>
      </w:r>
      <w:r w:rsidR="00BF3C90">
        <w:rPr>
          <w:rFonts w:cs="Times New Roman"/>
        </w:rPr>
        <w:t>S</w:t>
      </w:r>
      <w:r w:rsidRPr="000A7EA3">
        <w:rPr>
          <w:rFonts w:cs="Times New Roman"/>
        </w:rPr>
        <w:t xml:space="preserve">udeste do </w:t>
      </w:r>
      <w:r w:rsidR="00BF3C90">
        <w:rPr>
          <w:rFonts w:cs="Times New Roman"/>
        </w:rPr>
        <w:t>P</w:t>
      </w:r>
      <w:r w:rsidRPr="000A7EA3">
        <w:rPr>
          <w:rFonts w:cs="Times New Roman"/>
        </w:rPr>
        <w:t>aís, com características muitas vezes mais similares ao padrão norte-americano.</w:t>
      </w:r>
      <w:r w:rsidRPr="00BB42A5">
        <w:rPr>
          <w:rFonts w:cs="Times New Roman"/>
        </w:rPr>
        <w:t xml:space="preserve"> </w:t>
      </w:r>
      <w:r w:rsidR="00FE7B85">
        <w:rPr>
          <w:rFonts w:cs="Times New Roman"/>
        </w:rPr>
        <w:t>Portanto</w:t>
      </w:r>
      <w:r>
        <w:rPr>
          <w:rFonts w:cs="Times New Roman"/>
        </w:rPr>
        <w:t>, esta</w:t>
      </w:r>
      <w:r w:rsidRPr="00C27487">
        <w:rPr>
          <w:rFonts w:cs="Times New Roman"/>
        </w:rPr>
        <w:t xml:space="preserve"> pesquisa é justificada pela</w:t>
      </w:r>
      <w:r w:rsidRPr="00C27487">
        <w:rPr>
          <w:rFonts w:cs="Times New Roman"/>
          <w:szCs w:val="24"/>
        </w:rPr>
        <w:t xml:space="preserve"> carência de pesquisas em profundidade na abordagem deste tema no contexto amazônico, que</w:t>
      </w:r>
      <w:r w:rsidR="00FE7B85">
        <w:rPr>
          <w:rFonts w:cs="Times New Roman"/>
          <w:szCs w:val="24"/>
        </w:rPr>
        <w:t>,</w:t>
      </w:r>
      <w:r w:rsidRPr="00C27487">
        <w:rPr>
          <w:rFonts w:cs="Times New Roman"/>
          <w:szCs w:val="24"/>
        </w:rPr>
        <w:t xml:space="preserve"> apesar de ser um dos maiores polos de produção tecnológica do país</w:t>
      </w:r>
      <w:r>
        <w:rPr>
          <w:rFonts w:cs="Times New Roman"/>
          <w:szCs w:val="24"/>
        </w:rPr>
        <w:t xml:space="preserve"> - vide </w:t>
      </w:r>
      <w:r w:rsidR="00FE7B85">
        <w:rPr>
          <w:rFonts w:cs="Times New Roman"/>
          <w:szCs w:val="24"/>
        </w:rPr>
        <w:t>Z</w:t>
      </w:r>
      <w:r>
        <w:rPr>
          <w:rFonts w:cs="Times New Roman"/>
          <w:szCs w:val="24"/>
        </w:rPr>
        <w:t xml:space="preserve">ona </w:t>
      </w:r>
      <w:r w:rsidR="00FE7B85">
        <w:rPr>
          <w:rFonts w:cs="Times New Roman"/>
          <w:szCs w:val="24"/>
        </w:rPr>
        <w:t>F</w:t>
      </w:r>
      <w:r>
        <w:rPr>
          <w:rFonts w:cs="Times New Roman"/>
          <w:szCs w:val="24"/>
        </w:rPr>
        <w:t>ranca de Manaus, por exemplo -</w:t>
      </w:r>
      <w:r w:rsidR="00FE7B85">
        <w:rPr>
          <w:rFonts w:cs="Times New Roman"/>
          <w:szCs w:val="24"/>
        </w:rPr>
        <w:t>,</w:t>
      </w:r>
      <w:r w:rsidRPr="00C27487">
        <w:rPr>
          <w:rFonts w:cs="Times New Roman"/>
          <w:szCs w:val="24"/>
        </w:rPr>
        <w:t xml:space="preserve"> tem poucas pesquisas de caráter aplicado. Destaca-se</w:t>
      </w:r>
      <w:r w:rsidR="00FE7B85">
        <w:rPr>
          <w:rFonts w:cs="Times New Roman"/>
          <w:szCs w:val="24"/>
        </w:rPr>
        <w:t>,</w:t>
      </w:r>
      <w:r w:rsidRPr="00C27487">
        <w:rPr>
          <w:rFonts w:cs="Times New Roman"/>
          <w:szCs w:val="24"/>
        </w:rPr>
        <w:t xml:space="preserve"> também, a importância da geração de conhecimento na área de mensuração e desenvolvimento de escalas para o âmbito brasileiro.</w:t>
      </w:r>
      <w:r>
        <w:rPr>
          <w:rFonts w:cs="Times New Roman"/>
          <w:szCs w:val="24"/>
        </w:rPr>
        <w:t xml:space="preserve"> </w:t>
      </w:r>
      <w:proofErr w:type="spellStart"/>
      <w:r w:rsidRPr="00C27487">
        <w:rPr>
          <w:rFonts w:cs="Times New Roman"/>
        </w:rPr>
        <w:t>Venkatesh</w:t>
      </w:r>
      <w:proofErr w:type="spellEnd"/>
      <w:r w:rsidRPr="00C27487">
        <w:rPr>
          <w:rFonts w:cs="Times New Roman"/>
        </w:rPr>
        <w:t xml:space="preserve"> </w:t>
      </w:r>
      <w:r w:rsidRPr="00FE7B85">
        <w:rPr>
          <w:rFonts w:cs="Times New Roman"/>
          <w:i/>
        </w:rPr>
        <w:t>et al</w:t>
      </w:r>
      <w:r>
        <w:rPr>
          <w:rFonts w:cs="Times New Roman"/>
        </w:rPr>
        <w:t>.</w:t>
      </w:r>
      <w:r w:rsidRPr="00C27487">
        <w:rPr>
          <w:rFonts w:cs="Times New Roman"/>
        </w:rPr>
        <w:t xml:space="preserve"> (2012) cita </w:t>
      </w:r>
      <w:r w:rsidRPr="00C27487">
        <w:rPr>
          <w:rFonts w:cs="Times New Roman"/>
        </w:rPr>
        <w:lastRenderedPageBreak/>
        <w:t>como limitações do estudo a necessidade de que o modelo seja testado em outros lugares para fins de generalização de seus resultados, visto que a pesquisa foi realizada dentro das especificidades socioeconômicas e culturais de Hong Kong.</w:t>
      </w:r>
    </w:p>
    <w:p w14:paraId="72BABFFE" w14:textId="7EBDDC40" w:rsidR="00BC7604" w:rsidRDefault="00BC7604" w:rsidP="00BC7604">
      <w:pPr>
        <w:spacing w:after="0" w:line="360" w:lineRule="auto"/>
        <w:ind w:firstLine="709"/>
        <w:jc w:val="both"/>
        <w:rPr>
          <w:rFonts w:cs="Times New Roman"/>
        </w:rPr>
      </w:pPr>
      <w:r>
        <w:rPr>
          <w:rFonts w:cs="Times New Roman"/>
          <w:szCs w:val="24"/>
        </w:rPr>
        <w:t xml:space="preserve">Associando os dois fatores, anteriormente mencionados, de relevância contextual e sob o aspecto de análise da tecnologia, torna-se possível propor o problema da pesquisa: </w:t>
      </w:r>
      <w:r w:rsidR="00FE7B85">
        <w:rPr>
          <w:rFonts w:cs="Times New Roman"/>
          <w:szCs w:val="24"/>
        </w:rPr>
        <w:t>q</w:t>
      </w:r>
      <w:r>
        <w:rPr>
          <w:rFonts w:cs="Times New Roman"/>
          <w:szCs w:val="24"/>
        </w:rPr>
        <w:t xml:space="preserve">ual o impacto das variáveis do UTAUT no Uso de um ERP? Propomos o seguinte objetivo: testar empiricamente o impacto das variáveis </w:t>
      </w:r>
      <w:r w:rsidRPr="00C27487">
        <w:rPr>
          <w:rFonts w:cs="Times New Roman"/>
          <w:szCs w:val="24"/>
        </w:rPr>
        <w:t xml:space="preserve">da Teoria Unificada da Aceitação e Uso da Tecnologia </w:t>
      </w:r>
      <w:r>
        <w:rPr>
          <w:rFonts w:cs="Times New Roman"/>
          <w:szCs w:val="24"/>
        </w:rPr>
        <w:t xml:space="preserve">dentro do contexto </w:t>
      </w:r>
      <w:r w:rsidRPr="00C27487">
        <w:rPr>
          <w:rFonts w:cs="Times New Roman"/>
        </w:rPr>
        <w:t xml:space="preserve">de uma empresa </w:t>
      </w:r>
      <w:r>
        <w:rPr>
          <w:rFonts w:cs="Times New Roman"/>
        </w:rPr>
        <w:t xml:space="preserve">do oeste amazônico </w:t>
      </w:r>
      <w:r w:rsidRPr="00C27487">
        <w:rPr>
          <w:rFonts w:cs="Times New Roman"/>
        </w:rPr>
        <w:t>que passou pelo processo de implantação de um ERP.</w:t>
      </w:r>
    </w:p>
    <w:p w14:paraId="0164773A" w14:textId="77777777" w:rsidR="00BC7604" w:rsidRDefault="00BC7604" w:rsidP="00BC7604">
      <w:pPr>
        <w:spacing w:after="0" w:line="360" w:lineRule="auto"/>
        <w:ind w:firstLine="709"/>
        <w:jc w:val="both"/>
        <w:rPr>
          <w:rFonts w:cs="Times New Roman"/>
          <w:szCs w:val="24"/>
        </w:rPr>
      </w:pPr>
      <w:r>
        <w:rPr>
          <w:rFonts w:cs="Times New Roman"/>
        </w:rPr>
        <w:t xml:space="preserve">O trabalho está organizado em cinco capítulos, além da presente (1) parte introdutória; o (2) referencial teórico discute sobre </w:t>
      </w:r>
      <w:proofErr w:type="spellStart"/>
      <w:r>
        <w:rPr>
          <w:rFonts w:cs="Times New Roman"/>
        </w:rPr>
        <w:t>ERPs</w:t>
      </w:r>
      <w:proofErr w:type="spellEnd"/>
      <w:r>
        <w:rPr>
          <w:rFonts w:cs="Times New Roman"/>
        </w:rPr>
        <w:t>, a evolução até o UTAUT2 e as hipóteses, e as pesquisa já publicadas sobre ERP e UTAUT, responsável por sintetizar o estado da arte relacionado com a pesquisa; (3) metodologia e procedimentos metodológicos; (4) análise e discussão dos resultados; e, (5) conclusões, limitações e sugestões de estudos futuros.</w:t>
      </w:r>
    </w:p>
    <w:p w14:paraId="063E9A9B" w14:textId="77777777" w:rsidR="00BC7604" w:rsidRPr="00C27487" w:rsidRDefault="00BC7604" w:rsidP="00BC7604">
      <w:pPr>
        <w:spacing w:after="0" w:line="360" w:lineRule="auto"/>
        <w:ind w:firstLine="709"/>
        <w:jc w:val="both"/>
        <w:rPr>
          <w:rFonts w:cs="Times New Roman"/>
          <w:szCs w:val="24"/>
        </w:rPr>
      </w:pPr>
    </w:p>
    <w:p w14:paraId="2ABDD812" w14:textId="77777777" w:rsidR="00BC7604" w:rsidRPr="00C27487" w:rsidRDefault="00BC7604" w:rsidP="00BC7604">
      <w:pPr>
        <w:spacing w:after="80" w:line="360" w:lineRule="auto"/>
        <w:rPr>
          <w:rFonts w:cs="Times New Roman"/>
          <w:b/>
        </w:rPr>
      </w:pPr>
      <w:r w:rsidRPr="00C27487">
        <w:rPr>
          <w:rFonts w:cs="Times New Roman"/>
          <w:b/>
        </w:rPr>
        <w:t>2 REFERENCIAL TEÓRICO</w:t>
      </w:r>
    </w:p>
    <w:p w14:paraId="5016EC82" w14:textId="77777777" w:rsidR="00BC7604" w:rsidRPr="00831C9F" w:rsidRDefault="00BC7604" w:rsidP="00BC7604">
      <w:pPr>
        <w:spacing w:after="0" w:line="360" w:lineRule="auto"/>
        <w:jc w:val="both"/>
        <w:rPr>
          <w:rFonts w:cs="Times New Roman"/>
          <w:i/>
          <w:iCs/>
          <w:szCs w:val="24"/>
        </w:rPr>
      </w:pPr>
      <w:r w:rsidRPr="00C27487">
        <w:rPr>
          <w:rFonts w:cs="Times New Roman"/>
          <w:szCs w:val="24"/>
        </w:rPr>
        <w:t xml:space="preserve">2.1 </w:t>
      </w:r>
      <w:r>
        <w:rPr>
          <w:rFonts w:cs="Times New Roman"/>
          <w:i/>
          <w:iCs/>
          <w:szCs w:val="24"/>
        </w:rPr>
        <w:t>E</w:t>
      </w:r>
      <w:r w:rsidRPr="00831C9F">
        <w:rPr>
          <w:rFonts w:cs="Times New Roman"/>
          <w:i/>
          <w:iCs/>
          <w:szCs w:val="24"/>
        </w:rPr>
        <w:t xml:space="preserve">nterprise </w:t>
      </w:r>
      <w:proofErr w:type="spellStart"/>
      <w:r>
        <w:rPr>
          <w:rFonts w:cs="Times New Roman"/>
          <w:i/>
          <w:iCs/>
          <w:szCs w:val="24"/>
        </w:rPr>
        <w:t>R</w:t>
      </w:r>
      <w:r w:rsidRPr="00831C9F">
        <w:rPr>
          <w:rFonts w:cs="Times New Roman"/>
          <w:i/>
          <w:iCs/>
          <w:szCs w:val="24"/>
        </w:rPr>
        <w:t>esource</w:t>
      </w:r>
      <w:proofErr w:type="spellEnd"/>
      <w:r w:rsidRPr="00831C9F">
        <w:rPr>
          <w:rFonts w:cs="Times New Roman"/>
          <w:i/>
          <w:iCs/>
          <w:szCs w:val="24"/>
        </w:rPr>
        <w:t xml:space="preserve"> </w:t>
      </w:r>
      <w:r>
        <w:rPr>
          <w:rFonts w:cs="Times New Roman"/>
          <w:i/>
          <w:iCs/>
          <w:szCs w:val="24"/>
        </w:rPr>
        <w:t>P</w:t>
      </w:r>
      <w:r w:rsidRPr="00831C9F">
        <w:rPr>
          <w:rFonts w:cs="Times New Roman"/>
          <w:i/>
          <w:iCs/>
          <w:szCs w:val="24"/>
        </w:rPr>
        <w:t>lanning (</w:t>
      </w:r>
      <w:r>
        <w:rPr>
          <w:rFonts w:cs="Times New Roman"/>
          <w:i/>
          <w:iCs/>
          <w:szCs w:val="24"/>
        </w:rPr>
        <w:t>ERP</w:t>
      </w:r>
      <w:r w:rsidRPr="00831C9F">
        <w:rPr>
          <w:rFonts w:cs="Times New Roman"/>
          <w:i/>
          <w:iCs/>
          <w:szCs w:val="24"/>
        </w:rPr>
        <w:t>)</w:t>
      </w:r>
    </w:p>
    <w:p w14:paraId="1A7C1A19" w14:textId="77777777" w:rsidR="00BC7604" w:rsidRPr="00C27487" w:rsidRDefault="00BC7604" w:rsidP="00BC7604">
      <w:pPr>
        <w:spacing w:after="0" w:line="360" w:lineRule="auto"/>
        <w:ind w:firstLine="708"/>
        <w:jc w:val="both"/>
        <w:rPr>
          <w:rFonts w:cs="Times New Roman"/>
          <w:szCs w:val="24"/>
        </w:rPr>
      </w:pPr>
      <w:r w:rsidRPr="00C27487">
        <w:rPr>
          <w:rFonts w:cs="Times New Roman"/>
          <w:szCs w:val="24"/>
        </w:rPr>
        <w:t xml:space="preserve">Apesar dos </w:t>
      </w:r>
      <w:proofErr w:type="spellStart"/>
      <w:r w:rsidRPr="00C27487">
        <w:rPr>
          <w:rFonts w:cs="Times New Roman"/>
          <w:szCs w:val="24"/>
        </w:rPr>
        <w:t>ERPs</w:t>
      </w:r>
      <w:proofErr w:type="spellEnd"/>
      <w:r w:rsidRPr="00C27487">
        <w:rPr>
          <w:rFonts w:cs="Times New Roman"/>
          <w:szCs w:val="24"/>
        </w:rPr>
        <w:t xml:space="preserve"> terem sido introduzidos comercialmente na década de 1980, seus aspectos de uso somente começaram a ser investigados com maior profundidade na década de 1990, às quais as grandes empresas eram foco </w:t>
      </w:r>
      <w:r w:rsidRPr="00C27487">
        <w:rPr>
          <w:rFonts w:cs="Times New Roman"/>
          <w:szCs w:val="24"/>
        </w:rPr>
        <w:fldChar w:fldCharType="begin" w:fldLock="1"/>
      </w:r>
      <w:r>
        <w:rPr>
          <w:rFonts w:cs="Times New Roman"/>
          <w:szCs w:val="24"/>
        </w:rPr>
        <w:instrText>ADDIN CSL_CITATION {"citationItems":[{"id":"ITEM-1","itemData":{"DOI":"10.1016/j.chb.2015.03.059","ISBN":"07475632","ISSN":"07475632","abstract":"Abstract This detailed literature review has considered a relatively large quantity (152 total) of scholarly empirical publications, conference proceedings, books and popular market reports published over the last 15 years, i.e., from January 2000 to December 2014, in the field of human continuous usage behavior and in the context of information technology/systems. Based on the search results, the literature was synthesized, segregated into four major domains according to the purpose, nature and usage of the information technology/systems. The authors believe that this segregation within the information technology &amp; systems continuous usage literature provides greater scalability, flexibility and space for future research. Moreover, this proposed segregation allows for future research to include more 'systems' in each category depending on the usage, relevance and nature of the 'systems' that will evolve over the period of time. Scalability will provide more insights and ideas that will help future research investigate and propose domain-specific conceptual or business models that will help facilitate an understanding of information technology/systems continuous usage according to the nature of the 'system.' Conclusions and recommendations are drawn and priorities are proposed for continuing research.","author":[{"dropping-particle":"","family":"Shaikh","given":"Aijaz A.","non-dropping-particle":"","parse-names":false,"suffix":""},{"dropping-particle":"","family":"Karjaluoto","given":"Heikki","non-dropping-particle":"","parse-names":false,"suffix":""}],"container-title":"Computers in Human Behavior","id":"ITEM-1","issued":{"date-parts":[["2015"]]},"page":"541-566","publisher":"Elsevier Ltd","title":"Making the most of information technology &amp; systems usage: A literature review, framework and future research agenda","type":"article-journal","volume":"49"},"uris":["http://www.mendeley.com/documents/?uuid=c7eabd35-f914-484e-bed4-31efb5cf3ba2"]}],"mendeley":{"formattedCitation":"(SHAIKH; KARJALUOTO, 2015)","plainTextFormattedCitation":"(SHAIKH; KARJALUOTO, 2015)","previouslyFormattedCitation":"(SHAIKH; KARJALUOTO, 2015)"},"properties":{"noteIndex":0},"schema":"https://github.com/citation-style-language/schema/raw/master/csl-citation.json"}</w:instrText>
      </w:r>
      <w:r w:rsidRPr="00C27487">
        <w:rPr>
          <w:rFonts w:cs="Times New Roman"/>
          <w:szCs w:val="24"/>
        </w:rPr>
        <w:fldChar w:fldCharType="separate"/>
      </w:r>
      <w:r w:rsidRPr="00C27487">
        <w:rPr>
          <w:rFonts w:cs="Times New Roman"/>
          <w:noProof/>
          <w:szCs w:val="24"/>
        </w:rPr>
        <w:t>(SHAIKH; KARJALUOTO, 2015)</w:t>
      </w:r>
      <w:r w:rsidRPr="00C27487">
        <w:rPr>
          <w:rFonts w:cs="Times New Roman"/>
          <w:szCs w:val="24"/>
        </w:rPr>
        <w:fldChar w:fldCharType="end"/>
      </w:r>
      <w:r w:rsidRPr="00C27487">
        <w:rPr>
          <w:rFonts w:cs="Times New Roman"/>
          <w:szCs w:val="24"/>
        </w:rPr>
        <w:t xml:space="preserve">. Esses sistemas foram os responsáveis pela segunda fase dos sistemas de planejamento de produção (PPS), substituindo </w:t>
      </w:r>
      <w:proofErr w:type="spellStart"/>
      <w:r w:rsidRPr="00C27487">
        <w:rPr>
          <w:rFonts w:cs="Times New Roman"/>
          <w:szCs w:val="24"/>
        </w:rPr>
        <w:t>MRPs</w:t>
      </w:r>
      <w:proofErr w:type="spellEnd"/>
      <w:r w:rsidRPr="00C27487">
        <w:rPr>
          <w:rFonts w:cs="Times New Roman"/>
          <w:szCs w:val="24"/>
        </w:rPr>
        <w:t xml:space="preserve"> </w:t>
      </w:r>
      <w:r w:rsidRPr="00C27487">
        <w:rPr>
          <w:rFonts w:cs="Times New Roman"/>
          <w:szCs w:val="24"/>
        </w:rPr>
        <w:fldChar w:fldCharType="begin" w:fldLock="1"/>
      </w:r>
      <w:r>
        <w:rPr>
          <w:rFonts w:cs="Times New Roman"/>
          <w:szCs w:val="24"/>
        </w:rPr>
        <w:instrText>ADDIN CSL_CITATION {"citationItems":[{"id":"ITEM-1","itemData":{"DOI":"10.1016/j.compind.2007.02.002","ISSN":"01663615","abstract":"This paper describes the evolution of a production planning system (PPS) from a simple work sequence generation tool to a useful, sustained scheduling system. Three stages of evolution are described. In the first stage, a Gantt chart sequencing tool was converted to a scheduler's information system. This change was driven by the need to support the scheduler's daily task. The second stage of evolution was caused by an MRP-ERP conversion. The integration and conversion increased overhead and complexity in the job task and hence the tool, including the transformation of the previously integrated dispatching/scheduling task into separate dispatching and scheduling activities. The third stage of evolution has been small continuous improvements driven by management reporting requirements. PPS was developed in 1996 and has been fully operational since January 1997. Two major insights are discussed in this paper: the implications of supporting the scheduling task versus work sequence generation, and the software design requirements for evolutionary change as the software is used in an ever-changing situation. © 2007 Elsevier B.V. All rights reserved.","author":[{"dropping-particle":"","family":"McKay","given":"Kenneth N.","non-dropping-particle":"","parse-names":false,"suffix":""},{"dropping-particle":"","family":"Black","given":"Gary W.","non-dropping-particle":"","parse-names":false,"suffix":""}],"container-title":"Computers in Industry","id":"ITEM-1","issue":"8-9","issued":{"date-parts":[["2007","12","1"]]},"page":"756-771","publisher":"Elsevier","title":"The evolution of a production planning system: A 10-year case study","type":"article-journal","volume":"58"},"uris":["http://www.mendeley.com/documents/?uuid=c36f3a85-8855-3ca9-a2fe-a748da37d236"]}],"mendeley":{"formattedCitation":"(MCKAY; BLACK, 2007)","plainTextFormattedCitation":"(MCKAY; BLACK, 2007)","previouslyFormattedCitation":"(MCKAY; BLACK, 2007)"},"properties":{"noteIndex":0},"schema":"https://github.com/citation-style-language/schema/raw/master/csl-citation.json"}</w:instrText>
      </w:r>
      <w:r w:rsidRPr="00C27487">
        <w:rPr>
          <w:rFonts w:cs="Times New Roman"/>
          <w:szCs w:val="24"/>
        </w:rPr>
        <w:fldChar w:fldCharType="separate"/>
      </w:r>
      <w:r w:rsidRPr="00C27487">
        <w:rPr>
          <w:rFonts w:cs="Times New Roman"/>
          <w:noProof/>
          <w:szCs w:val="24"/>
        </w:rPr>
        <w:t>(MCKAY; BLACK, 2007)</w:t>
      </w:r>
      <w:r w:rsidRPr="00C27487">
        <w:rPr>
          <w:rFonts w:cs="Times New Roman"/>
          <w:szCs w:val="24"/>
        </w:rPr>
        <w:fldChar w:fldCharType="end"/>
      </w:r>
      <w:r w:rsidRPr="00C27487">
        <w:rPr>
          <w:rFonts w:cs="Times New Roman"/>
          <w:szCs w:val="24"/>
        </w:rPr>
        <w:t>.</w:t>
      </w:r>
      <w:r>
        <w:rPr>
          <w:rFonts w:cs="Times New Roman"/>
          <w:szCs w:val="24"/>
        </w:rPr>
        <w:t xml:space="preserve"> </w:t>
      </w:r>
      <w:r w:rsidRPr="00C27487">
        <w:rPr>
          <w:rFonts w:cs="Times New Roman"/>
          <w:szCs w:val="24"/>
        </w:rPr>
        <w:t xml:space="preserve">ERP pode ser definido como um amplo sistema de informação (SI) responsável por agregar diversos processos organizacionais, sejam estes internamente ou externamente </w:t>
      </w:r>
      <w:r w:rsidRPr="00C27487">
        <w:rPr>
          <w:rFonts w:cs="Times New Roman"/>
          <w:szCs w:val="24"/>
        </w:rPr>
        <w:fldChar w:fldCharType="begin" w:fldLock="1"/>
      </w:r>
      <w:r>
        <w:rPr>
          <w:rFonts w:cs="Times New Roman"/>
          <w:szCs w:val="24"/>
        </w:rPr>
        <w:instrText>ADDIN CSL_CITATION {"citationItems":[{"id":"ITEM-1","itemData":{"DOI":"10.1057/palgrave.ejis.3000663","ISSN":"0960-085X","author":[{"dropping-particle":"","family":"Po-An Hsieh","given":"J J","non-dropping-particle":"","parse-names":false,"suffix":""},{"dropping-particle":"","family":"Wang","given":"Wei","non-dropping-particle":"","parse-names":false,"suffix":""}],"container-title":"European Journal of Information Systems","id":"ITEM-1","issue":"3","issued":{"date-parts":[["2007","7","19"]]},"page":"216-227","title":"Explaining employees' Extended Use of complex information systems","type":"article-journal","volume":"16"},"uris":["http://www.mendeley.com/documents/?uuid=e21391ca-4881-4832-9da5-f80881ff51a7"]}],"mendeley":{"formattedCitation":"(PO-AN HSIEH; WANG, 2007)","plainTextFormattedCitation":"(PO-AN HSIEH; WANG, 2007)","previouslyFormattedCitation":"(PO-AN HSIEH; WANG, 2007)"},"properties":{"noteIndex":0},"schema":"https://github.com/citation-style-language/schema/raw/master/csl-citation.json"}</w:instrText>
      </w:r>
      <w:r w:rsidRPr="00C27487">
        <w:rPr>
          <w:rFonts w:cs="Times New Roman"/>
          <w:szCs w:val="24"/>
        </w:rPr>
        <w:fldChar w:fldCharType="separate"/>
      </w:r>
      <w:r w:rsidRPr="00C27487">
        <w:rPr>
          <w:rFonts w:cs="Times New Roman"/>
          <w:noProof/>
          <w:szCs w:val="24"/>
        </w:rPr>
        <w:t>(PO-AN HSIEH; WANG, 2007)</w:t>
      </w:r>
      <w:r w:rsidRPr="00C27487">
        <w:rPr>
          <w:rFonts w:cs="Times New Roman"/>
          <w:szCs w:val="24"/>
        </w:rPr>
        <w:fldChar w:fldCharType="end"/>
      </w:r>
      <w:r w:rsidRPr="00C27487">
        <w:rPr>
          <w:rFonts w:cs="Times New Roman"/>
          <w:szCs w:val="24"/>
        </w:rPr>
        <w:t xml:space="preserve">. A literatura também apresenta outras definições baseadas em suas funcionalidades, como ser um arcabouço de ferramentas gerenciais que relacionam a demanda com o suprimentos, dar suporte aos processos de negócios para a tomada de decisões, integração entre as áreas funcionais da organização </w:t>
      </w:r>
      <w:r w:rsidRPr="00C27487">
        <w:rPr>
          <w:rFonts w:cs="Times New Roman"/>
          <w:szCs w:val="24"/>
        </w:rPr>
        <w:fldChar w:fldCharType="begin" w:fldLock="1"/>
      </w:r>
      <w:r>
        <w:rPr>
          <w:rFonts w:cs="Times New Roman"/>
          <w:szCs w:val="24"/>
        </w:rPr>
        <w:instrText>ADDIN CSL_CITATION {"citationItems":[{"id":"ITEM-1","itemData":{"ISBN":"0471392014","author":[{"dropping-particle":"","family":"Wallace","given":"Thomas F","non-dropping-particle":"","parse-names":false,"suffix":""},{"dropping-particle":"","family":"Kremzar","given":"Michael H","non-dropping-particle":"","parse-names":false,"suffix":""}],"id":"ITEM-1","issued":{"date-parts":[["2001"]]},"title":"ERP: Making It Happen The Implementers' Guide to Success with Enterprise Resource Planning","type":"report"},"uris":["http://www.mendeley.com/documents/?uuid=cc6760c0-13e3-3d77-9ab8-c44bb1539491"]}],"mendeley":{"formattedCitation":"(WALLACE; KREMZAR, 2001)","plainTextFormattedCitation":"(WALLACE; KREMZAR, 2001)","previouslyFormattedCitation":"(WALLACE; KREMZAR, 2001)"},"properties":{"noteIndex":0},"schema":"https://github.com/citation-style-language/schema/raw/master/csl-citation.json"}</w:instrText>
      </w:r>
      <w:r w:rsidRPr="00C27487">
        <w:rPr>
          <w:rFonts w:cs="Times New Roman"/>
          <w:szCs w:val="24"/>
        </w:rPr>
        <w:fldChar w:fldCharType="separate"/>
      </w:r>
      <w:r w:rsidRPr="00C27487">
        <w:rPr>
          <w:rFonts w:cs="Times New Roman"/>
          <w:noProof/>
          <w:szCs w:val="24"/>
        </w:rPr>
        <w:t>(WALLACE; KREMZAR, 2001)</w:t>
      </w:r>
      <w:r w:rsidRPr="00C27487">
        <w:rPr>
          <w:rFonts w:cs="Times New Roman"/>
          <w:szCs w:val="24"/>
        </w:rPr>
        <w:fldChar w:fldCharType="end"/>
      </w:r>
      <w:r w:rsidRPr="00C27487">
        <w:rPr>
          <w:rFonts w:cs="Times New Roman"/>
          <w:szCs w:val="24"/>
        </w:rPr>
        <w:t>.</w:t>
      </w:r>
    </w:p>
    <w:p w14:paraId="2601EB3A" w14:textId="179B364F" w:rsidR="00BC7604" w:rsidRPr="00C27487" w:rsidRDefault="00BC7604" w:rsidP="00BC7604">
      <w:pPr>
        <w:spacing w:after="0" w:line="360" w:lineRule="auto"/>
        <w:ind w:firstLine="708"/>
        <w:jc w:val="both"/>
        <w:rPr>
          <w:rFonts w:cs="Times New Roman"/>
          <w:szCs w:val="24"/>
        </w:rPr>
      </w:pPr>
      <w:r w:rsidRPr="00C27487">
        <w:rPr>
          <w:rFonts w:cs="Times New Roman"/>
          <w:szCs w:val="24"/>
        </w:rPr>
        <w:t xml:space="preserve">Justamente devido </w:t>
      </w:r>
      <w:r w:rsidR="00FB0ADB">
        <w:rPr>
          <w:rFonts w:cs="Times New Roman"/>
          <w:szCs w:val="24"/>
        </w:rPr>
        <w:t>à</w:t>
      </w:r>
      <w:r w:rsidRPr="00C27487">
        <w:rPr>
          <w:rFonts w:cs="Times New Roman"/>
          <w:szCs w:val="24"/>
        </w:rPr>
        <w:t xml:space="preserve"> possibilidade de sua amplitude dentro das empresas que aspectos contratuais devem estar relacionados com os comportamentais para evitar contratações de serviços desnecessários, por exemplo. Algumas pesquisas apontam que muitas funcionalidades instaladas não são usadas e a maioria dos usuários concentra-se em apenas uma pequena quantidade de funções </w:t>
      </w:r>
      <w:r w:rsidRPr="00C27487">
        <w:rPr>
          <w:rFonts w:cs="Times New Roman"/>
          <w:szCs w:val="24"/>
        </w:rPr>
        <w:fldChar w:fldCharType="begin" w:fldLock="1"/>
      </w:r>
      <w:r>
        <w:rPr>
          <w:rFonts w:cs="Times New Roman"/>
          <w:szCs w:val="24"/>
        </w:rPr>
        <w:instrText>ADDIN CSL_CITATION {"citationItems":[{"id":"ITEM-1","itemData":{"DOI":"10.17705/1CAIS.02325","ISSN":"15293181","author":[{"dropping-particle":"","family":"Jones","given":"Mary C","non-dropping-particle":"","parse-names":false,"suffix":""},{"dropping-particle":"","family":"Zmud","given":"Robert W","non-dropping-particle":"","parse-names":false,"suffix":""},{"dropping-particle":"","family":"Clark","given":"Thomas D.","non-dropping-particle":"","parse-names":false,"suffix":""}],"container-title":"Communications of the Association for Information Systems","id":"ITEM-1","issued":{"date-parts":[["2008"]]},"page":"462","title":"ERP in Practice: A Snapshot of Post-Installation Perception and Behaviors","type":"article-journal","volume":"23"},"uris":["http://www.mendeley.com/documents/?uuid=27377f84-525d-49d8-9c5e-bdf43989b3dd"]}],"mendeley":{"formattedCitation":"(JONES; ZMUD; CLARK, 2008)","plainTextFormattedCitation":"(JONES; ZMUD; CLARK, 2008)","previouslyFormattedCitation":"(JONES; ZMUD; CLARK, 2008)"},"properties":{"noteIndex":0},"schema":"https://github.com/citation-style-language/schema/raw/master/csl-citation.json"}</w:instrText>
      </w:r>
      <w:r w:rsidRPr="00C27487">
        <w:rPr>
          <w:rFonts w:cs="Times New Roman"/>
          <w:szCs w:val="24"/>
        </w:rPr>
        <w:fldChar w:fldCharType="separate"/>
      </w:r>
      <w:r w:rsidRPr="00C27487">
        <w:rPr>
          <w:rFonts w:cs="Times New Roman"/>
          <w:noProof/>
          <w:szCs w:val="24"/>
        </w:rPr>
        <w:t>(JONES; ZMUD; CLARK, 2008)</w:t>
      </w:r>
      <w:r w:rsidRPr="00C27487">
        <w:rPr>
          <w:rFonts w:cs="Times New Roman"/>
          <w:szCs w:val="24"/>
        </w:rPr>
        <w:fldChar w:fldCharType="end"/>
      </w:r>
      <w:r w:rsidRPr="00C27487">
        <w:rPr>
          <w:rFonts w:cs="Times New Roman"/>
          <w:szCs w:val="24"/>
        </w:rPr>
        <w:t>.</w:t>
      </w:r>
      <w:r>
        <w:rPr>
          <w:rFonts w:cs="Times New Roman"/>
          <w:szCs w:val="24"/>
        </w:rPr>
        <w:t xml:space="preserve"> </w:t>
      </w:r>
      <w:r w:rsidRPr="00C27487">
        <w:rPr>
          <w:rFonts w:cs="Times New Roman"/>
          <w:szCs w:val="24"/>
        </w:rPr>
        <w:t xml:space="preserve">Diversos fatores podem explicar o </w:t>
      </w:r>
      <w:r w:rsidRPr="00C27487">
        <w:rPr>
          <w:rFonts w:cs="Times New Roman"/>
          <w:szCs w:val="24"/>
        </w:rPr>
        <w:lastRenderedPageBreak/>
        <w:t xml:space="preserve">nível de uso, ou mesmo a intenção de continuar usando o ERP, como organizacionais e individuais. Um dos principais fatores de responsabilidade da organização são os programas de treinamento. Ao passo que os fatores individuais podem ser as experiências anteriores, percepção de utilidade e nível de satisfação com o SI, por exemplo </w:t>
      </w:r>
      <w:r w:rsidRPr="00C27487">
        <w:rPr>
          <w:rFonts w:cs="Times New Roman"/>
          <w:szCs w:val="24"/>
        </w:rPr>
        <w:fldChar w:fldCharType="begin" w:fldLock="1"/>
      </w:r>
      <w:r>
        <w:rPr>
          <w:rFonts w:cs="Times New Roman"/>
          <w:szCs w:val="24"/>
        </w:rPr>
        <w:instrText>ADDIN CSL_CITATION {"citationItems":[{"id":"ITEM-1","itemData":{"DOI":"10.1016/j.ijhcs.2009.01.001","ISSN":"10715819","author":[{"dropping-particle":"","family":"Chou","given":"Shih-wei","non-dropping-particle":"","parse-names":false,"suffix":""},{"dropping-particle":"","family":"Chen","given":"Pi-yu","non-dropping-particle":"","parse-names":false,"suffix":""}],"container-title":"International Journal of Human-Computer Studies","id":"ITEM-1","issue":"6","issued":{"date-parts":[["2009","6"]]},"page":"484-496","title":"The influence of individual differences on continuance intentions of enterprise resource planning (ERP)","type":"article-journal","volume":"67"},"uris":["http://www.mendeley.com/documents/?uuid=df473044-a619-4945-9a86-91afec28fa0b"]}],"mendeley":{"formattedCitation":"(CHOU; CHEN, 2009)","plainTextFormattedCitation":"(CHOU; CHEN, 2009)","previouslyFormattedCitation":"(CHOU; CHEN, 2009)"},"properties":{"noteIndex":0},"schema":"https://github.com/citation-style-language/schema/raw/master/csl-citation.json"}</w:instrText>
      </w:r>
      <w:r w:rsidRPr="00C27487">
        <w:rPr>
          <w:rFonts w:cs="Times New Roman"/>
          <w:szCs w:val="24"/>
        </w:rPr>
        <w:fldChar w:fldCharType="separate"/>
      </w:r>
      <w:r w:rsidRPr="00C27487">
        <w:rPr>
          <w:rFonts w:cs="Times New Roman"/>
          <w:noProof/>
          <w:szCs w:val="24"/>
        </w:rPr>
        <w:t>(CHOU; CHEN, 2009)</w:t>
      </w:r>
      <w:r w:rsidRPr="00C27487">
        <w:rPr>
          <w:rFonts w:cs="Times New Roman"/>
          <w:szCs w:val="24"/>
        </w:rPr>
        <w:fldChar w:fldCharType="end"/>
      </w:r>
      <w:r w:rsidRPr="00C27487">
        <w:rPr>
          <w:rFonts w:cs="Times New Roman"/>
          <w:szCs w:val="24"/>
        </w:rPr>
        <w:t>.</w:t>
      </w:r>
    </w:p>
    <w:p w14:paraId="32A9E81D" w14:textId="503DE97C" w:rsidR="00BC7604" w:rsidRPr="00C27487" w:rsidRDefault="00BC7604" w:rsidP="00BC7604">
      <w:pPr>
        <w:spacing w:after="0" w:line="360" w:lineRule="auto"/>
        <w:ind w:firstLine="708"/>
        <w:jc w:val="both"/>
        <w:rPr>
          <w:rFonts w:cs="Times New Roman"/>
          <w:szCs w:val="24"/>
        </w:rPr>
      </w:pPr>
      <w:r w:rsidRPr="00C27487">
        <w:rPr>
          <w:rFonts w:cs="Times New Roman"/>
          <w:szCs w:val="24"/>
        </w:rPr>
        <w:t>A literatura também apresenta várias metodologias de implantação, em sua maioria, representadas em sete fases: (1) levantamento das necessidades do cliente</w:t>
      </w:r>
      <w:r w:rsidR="004F1DE4">
        <w:rPr>
          <w:rFonts w:cs="Times New Roman"/>
          <w:szCs w:val="24"/>
        </w:rPr>
        <w:t>;</w:t>
      </w:r>
      <w:r w:rsidRPr="00C27487">
        <w:rPr>
          <w:rFonts w:cs="Times New Roman"/>
          <w:szCs w:val="24"/>
        </w:rPr>
        <w:t xml:space="preserve"> (2) planejamento</w:t>
      </w:r>
      <w:r w:rsidR="004F1DE4">
        <w:rPr>
          <w:rFonts w:cs="Times New Roman"/>
          <w:szCs w:val="24"/>
        </w:rPr>
        <w:t>;</w:t>
      </w:r>
      <w:r w:rsidRPr="00C27487">
        <w:rPr>
          <w:rFonts w:cs="Times New Roman"/>
          <w:szCs w:val="24"/>
        </w:rPr>
        <w:t xml:space="preserve"> (3) conscientização</w:t>
      </w:r>
      <w:r w:rsidR="004F1DE4">
        <w:rPr>
          <w:rFonts w:cs="Times New Roman"/>
          <w:szCs w:val="24"/>
        </w:rPr>
        <w:t>;</w:t>
      </w:r>
      <w:r w:rsidRPr="00C27487">
        <w:rPr>
          <w:rFonts w:cs="Times New Roman"/>
          <w:szCs w:val="24"/>
        </w:rPr>
        <w:t xml:space="preserve"> (4) treinamento</w:t>
      </w:r>
      <w:r w:rsidR="004F1DE4">
        <w:rPr>
          <w:rFonts w:cs="Times New Roman"/>
          <w:szCs w:val="24"/>
        </w:rPr>
        <w:t>;</w:t>
      </w:r>
      <w:r w:rsidRPr="00C27487">
        <w:rPr>
          <w:rFonts w:cs="Times New Roman"/>
          <w:szCs w:val="24"/>
        </w:rPr>
        <w:t xml:space="preserve"> (5) desenvolvimento de soluções específicas</w:t>
      </w:r>
      <w:r w:rsidR="004F1DE4">
        <w:rPr>
          <w:rFonts w:cs="Times New Roman"/>
          <w:szCs w:val="24"/>
        </w:rPr>
        <w:t>;</w:t>
      </w:r>
      <w:r w:rsidRPr="00C27487">
        <w:rPr>
          <w:rFonts w:cs="Times New Roman"/>
          <w:szCs w:val="24"/>
        </w:rPr>
        <w:t xml:space="preserve"> (6) acompanhamento</w:t>
      </w:r>
      <w:r w:rsidR="004F1DE4">
        <w:rPr>
          <w:rFonts w:cs="Times New Roman"/>
          <w:szCs w:val="24"/>
        </w:rPr>
        <w:t>;</w:t>
      </w:r>
      <w:r w:rsidRPr="00C27487">
        <w:rPr>
          <w:rFonts w:cs="Times New Roman"/>
          <w:szCs w:val="24"/>
        </w:rPr>
        <w:t xml:space="preserve"> e (7) validação. A primeira objetiva identificar quais são as atividades desenvolvidas no negócio. A segunda desenvolve um planejamento para alinhar os objetivos organizacionais com o produto a ser adquirido. A terceira busca envolver as partes interessadas no processo de implantação. Na quarta</w:t>
      </w:r>
      <w:r w:rsidR="004F1DE4">
        <w:rPr>
          <w:rFonts w:cs="Times New Roman"/>
          <w:szCs w:val="24"/>
        </w:rPr>
        <w:t>,</w:t>
      </w:r>
      <w:r w:rsidRPr="00C27487">
        <w:rPr>
          <w:rFonts w:cs="Times New Roman"/>
          <w:szCs w:val="24"/>
        </w:rPr>
        <w:t xml:space="preserve"> é realizado o treinamento dos usuários no intuito de explicar as como as regras de negócios passarão a ser utilizar com o novo ferramental. A quinta é responsável pelas customizações e adaptações. A sexta acontece desde o início da aplicação da metodologia e visa dar maior segurança ao processo de implantação. A sétima realiza o contraste o plano de ação e o realmente executado </w:t>
      </w:r>
      <w:r w:rsidRPr="00C27487">
        <w:rPr>
          <w:rFonts w:cs="Times New Roman"/>
          <w:szCs w:val="24"/>
        </w:rPr>
        <w:fldChar w:fldCharType="begin" w:fldLock="1"/>
      </w:r>
      <w:r>
        <w:rPr>
          <w:rFonts w:cs="Times New Roman"/>
          <w:szCs w:val="24"/>
        </w:rPr>
        <w:instrText>ADDIN CSL_CITATION {"citationItems":[{"id":"ITEM-1","itemData":{"ISBN":"85.346.1230-7","author":[{"dropping-particle":"","family":"Haberkorn","given":"Ernesto Mário","non-dropping-particle":"","parse-names":false,"suffix":""}],"edition":"2","id":"ITEM-1","issued":{"date-parts":[["1999"]]},"number-of-pages":"304","publisher":"Makron Books","publisher-place":"São Paulo","title":"Teoria do ERP - Enterprise Resource Planning","type":"book"},"uris":["http://www.mendeley.com/documents/?uuid=fa58b650-fb11-4c2c-96b3-b6f561f4f23a"]}],"mendeley":{"formattedCitation":"(HABERKORN, 1999)","plainTextFormattedCitation":"(HABERKORN, 1999)","previouslyFormattedCitation":"(HABERKORN, 1999)"},"properties":{"noteIndex":0},"schema":"https://github.com/citation-style-language/schema/raw/master/csl-citation.json"}</w:instrText>
      </w:r>
      <w:r w:rsidRPr="00C27487">
        <w:rPr>
          <w:rFonts w:cs="Times New Roman"/>
          <w:szCs w:val="24"/>
        </w:rPr>
        <w:fldChar w:fldCharType="separate"/>
      </w:r>
      <w:r w:rsidRPr="00C27487">
        <w:rPr>
          <w:rFonts w:cs="Times New Roman"/>
          <w:noProof/>
          <w:szCs w:val="24"/>
        </w:rPr>
        <w:t>(HABERKORN, 1999)</w:t>
      </w:r>
      <w:r w:rsidRPr="00C27487">
        <w:rPr>
          <w:rFonts w:cs="Times New Roman"/>
          <w:szCs w:val="24"/>
        </w:rPr>
        <w:fldChar w:fldCharType="end"/>
      </w:r>
      <w:r w:rsidRPr="00C27487">
        <w:rPr>
          <w:rFonts w:cs="Times New Roman"/>
          <w:szCs w:val="24"/>
        </w:rPr>
        <w:t>.</w:t>
      </w:r>
    </w:p>
    <w:p w14:paraId="3B3A646C" w14:textId="3C6ABB4A" w:rsidR="00BC7604" w:rsidRPr="002F4626" w:rsidRDefault="00BC7604" w:rsidP="00BC7604">
      <w:pPr>
        <w:spacing w:after="0" w:line="360" w:lineRule="auto"/>
        <w:ind w:firstLine="708"/>
        <w:jc w:val="both"/>
        <w:rPr>
          <w:rFonts w:cs="Times New Roman"/>
          <w:szCs w:val="24"/>
        </w:rPr>
      </w:pPr>
      <w:r w:rsidRPr="00C27487">
        <w:rPr>
          <w:rFonts w:cs="Times New Roman"/>
          <w:szCs w:val="24"/>
        </w:rPr>
        <w:t xml:space="preserve">Por fim, a utilização de ERP está presente em agendas de pesquisa de diversos campos da área de administração e negócios, como: indústria 4.0 e setor de construção </w:t>
      </w:r>
      <w:r w:rsidRPr="00C27487">
        <w:rPr>
          <w:rFonts w:cs="Times New Roman"/>
          <w:szCs w:val="24"/>
        </w:rPr>
        <w:fldChar w:fldCharType="begin" w:fldLock="1"/>
      </w:r>
      <w:r>
        <w:rPr>
          <w:rFonts w:cs="Times New Roman"/>
          <w:szCs w:val="24"/>
        </w:rPr>
        <w:instrText>ADDIN CSL_CITATION {"citationItems":[{"id":"ITEM-1","itemData":{"DOI":"10.1016/j.compind.2016.09.006","ISSN":"01663615","abstract":"In recent years, Industry 4.0 has been introduced as a popular term to describe the trend towards digitisation and automation of the manufacturing environment. Despite its potential benefits in terms of improvements in productivity and quality, this concept has not gained much attention in the construction industry. This development is founded in the fact that the far-reaching implications of the increasingly digitised and automated manufacturing environment are still widely unknown. Against this backdrop, the primary objective of this paper is to explore the state of the art as well as the state of practice of Industry 4.0 relating technologies in the construction industry by pointing out the political, economic, social, technological, environmental and legal implications of its adoption. In this context, we present the results of our triangulation approach, which consists of a comprehensive systematic literature review and case study research, by illustrating a PESTEL framework and a value chain model. Additionally, we provide recommendations for further research within a research agenda.","author":[{"dropping-particle":"","family":"Oesterreich","given":"Thuy Duong","non-dropping-particle":"","parse-names":false,"suffix":""},{"dropping-particle":"","family":"Teuteberg","given":"Frank","non-dropping-particle":"","parse-names":false,"suffix":""}],"container-title":"Computers in Industry","id":"ITEM-1","issued":{"date-parts":[["2016","12","1"]]},"page":"121-139","publisher":"Elsevier B.V.","title":"Understanding the implications of digitisation and automation in the context of Industry 4.0: A triangulation approach and elements of a research agenda for the construction industry","type":"article","volume":"83"},"uris":["http://www.mendeley.com/documents/?uuid=34e55136-7a9e-36cf-b59a-6455110ce34a"]}],"mendeley":{"formattedCitation":"(OESTERREICH; TEUTEBERG, 2016)","plainTextFormattedCitation":"(OESTERREICH; TEUTEBERG, 2016)","previouslyFormattedCitation":"(OESTERREICH; TEUTEBERG, 2016)"},"properties":{"noteIndex":0},"schema":"https://github.com/citation-style-language/schema/raw/master/csl-citation.json"}</w:instrText>
      </w:r>
      <w:r w:rsidRPr="00C27487">
        <w:rPr>
          <w:rFonts w:cs="Times New Roman"/>
          <w:szCs w:val="24"/>
        </w:rPr>
        <w:fldChar w:fldCharType="separate"/>
      </w:r>
      <w:r w:rsidRPr="00C27487">
        <w:rPr>
          <w:rFonts w:cs="Times New Roman"/>
          <w:noProof/>
          <w:szCs w:val="24"/>
        </w:rPr>
        <w:t>(OESTERREICH; TEUTEBERG, 2016)</w:t>
      </w:r>
      <w:r w:rsidRPr="00C27487">
        <w:rPr>
          <w:rFonts w:cs="Times New Roman"/>
          <w:szCs w:val="24"/>
        </w:rPr>
        <w:fldChar w:fldCharType="end"/>
      </w:r>
      <w:r w:rsidRPr="00C27487">
        <w:rPr>
          <w:rFonts w:cs="Times New Roman"/>
          <w:szCs w:val="24"/>
        </w:rPr>
        <w:t xml:space="preserve">, cadeia de suprimento e finanças </w:t>
      </w:r>
      <w:r w:rsidRPr="00C27487">
        <w:rPr>
          <w:rFonts w:cs="Times New Roman"/>
          <w:szCs w:val="24"/>
        </w:rPr>
        <w:fldChar w:fldCharType="begin" w:fldLock="1"/>
      </w:r>
      <w:r>
        <w:rPr>
          <w:rFonts w:cs="Times New Roman"/>
          <w:szCs w:val="24"/>
        </w:rPr>
        <w:instrText>ADDIN CSL_CITATION {"citationItems":[{"id":"ITEM-1","itemData":{"DOI":"10.1016/j.pursup.2018.07.005","ISSN":"14784092","abstract":"While supply chain finance (SCF) is receiving growing attention in research, it remains limited in reach and fragmented in its implementation. At the same time, technological advances are changing the shape of the overall business ecosystem in which SCF is embedded. Therefore, the aim of this research is to conduct a systematic review of the SCF literature and develop a framework of analysis to support further exploration of the SCF ecosystem. This research expands on other recent systematic reviews of SCF literature and introduces the business ecosystem concept to the SCF domain. Based on the presented SCF framework, an agenda for future SCF ecosystem research is proposed.","author":[{"dropping-particle":"","family":"Bals","given":"Cristof","non-dropping-particle":"","parse-names":false,"suffix":""}],"container-title":"Journal of Purchasing and Supply Management","id":"ITEM-1","issue":"2","issued":{"date-parts":[["2019","3","1"]]},"page":"105-117","publisher":"Elsevier Ltd","title":"Toward a supply chain finance (SCF) ecosystem – Proposing a framework and agenda for future research","type":"article-journal","volume":"25"},"uris":["http://www.mendeley.com/documents/?uuid=b2b460a2-aef5-3769-bd83-1e4eb74ba4ae"]}],"mendeley":{"formattedCitation":"(BALS, 2019)","plainTextFormattedCitation":"(BALS, 2019)","previouslyFormattedCitation":"(BALS, 2019)"},"properties":{"noteIndex":0},"schema":"https://github.com/citation-style-language/schema/raw/master/csl-citation.json"}</w:instrText>
      </w:r>
      <w:r w:rsidRPr="00C27487">
        <w:rPr>
          <w:rFonts w:cs="Times New Roman"/>
          <w:szCs w:val="24"/>
        </w:rPr>
        <w:fldChar w:fldCharType="separate"/>
      </w:r>
      <w:r w:rsidRPr="00C27487">
        <w:rPr>
          <w:rFonts w:cs="Times New Roman"/>
          <w:noProof/>
          <w:szCs w:val="24"/>
        </w:rPr>
        <w:t>(BALS, 2019)</w:t>
      </w:r>
      <w:r w:rsidRPr="00C27487">
        <w:rPr>
          <w:rFonts w:cs="Times New Roman"/>
          <w:szCs w:val="24"/>
        </w:rPr>
        <w:fldChar w:fldCharType="end"/>
      </w:r>
      <w:r w:rsidRPr="00C27487">
        <w:rPr>
          <w:rFonts w:cs="Times New Roman"/>
          <w:szCs w:val="24"/>
        </w:rPr>
        <w:t xml:space="preserve">, transformação digital </w:t>
      </w:r>
      <w:r w:rsidRPr="00C27487">
        <w:rPr>
          <w:rFonts w:cs="Times New Roman"/>
          <w:szCs w:val="24"/>
        </w:rPr>
        <w:fldChar w:fldCharType="begin" w:fldLock="1"/>
      </w:r>
      <w:r>
        <w:rPr>
          <w:rFonts w:cs="Times New Roman"/>
          <w:szCs w:val="24"/>
        </w:rPr>
        <w:instrText>ADDIN CSL_CITATION {"citationItems":[{"id":"ITEM-1","itemData":{"DOI":"10.1016/j.jsis.2019.01.003","ISSN":"09638687","abstract":"Extant literature has increased our understanding of specific aspects of digital transformation, however we lack a comprehensive portrait of its nature and implications. Through a review of 282 works, we inductively build a framework of digital transformation articulated across eight building blocks. Our framework foregrounds digital transformation as a process where digital technologies create disruptions triggering strategic responses from organizations that seek to alter their value creation paths while managing the structural changes and organizational barriers that affect the positive and negative outcomes of this process. Building on this framework, we elaborate a research agenda that proposes [1] examining the role of dynamic capabilities, and [2] accounting for ethical issues as important avenues for future strategic IS research on digital transformation.","author":[{"dropping-particle":"","family":"Vial","given":"Gregory","non-dropping-particle":"","parse-names":false,"suffix":""}],"container-title":"Journal of Strategic Information Systems","id":"ITEM-1","issue":"2","issued":{"date-parts":[["2019","6","1"]]},"page":"118-144","publisher":"Elsevier B.V.","title":"Understanding digital transformation: A review and a research agenda","type":"article","volume":"28"},"uris":["http://www.mendeley.com/documents/?uuid=9bdeaad2-1343-3f42-9999-fffbaad941d4"]}],"mendeley":{"formattedCitation":"(VIAL, 2019)","plainTextFormattedCitation":"(VIAL, 2019)","previouslyFormattedCitation":"(VIAL, 2019)"},"properties":{"noteIndex":0},"schema":"https://github.com/citation-style-language/schema/raw/master/csl-citation.json"}</w:instrText>
      </w:r>
      <w:r w:rsidRPr="00C27487">
        <w:rPr>
          <w:rFonts w:cs="Times New Roman"/>
          <w:szCs w:val="24"/>
        </w:rPr>
        <w:fldChar w:fldCharType="separate"/>
      </w:r>
      <w:r w:rsidRPr="00C27487">
        <w:rPr>
          <w:rFonts w:cs="Times New Roman"/>
          <w:noProof/>
          <w:szCs w:val="24"/>
        </w:rPr>
        <w:t>(VIAL, 2019)</w:t>
      </w:r>
      <w:r w:rsidRPr="00C27487">
        <w:rPr>
          <w:rFonts w:cs="Times New Roman"/>
          <w:szCs w:val="24"/>
        </w:rPr>
        <w:fldChar w:fldCharType="end"/>
      </w:r>
      <w:r w:rsidRPr="00C27487">
        <w:rPr>
          <w:rFonts w:cs="Times New Roman"/>
          <w:szCs w:val="24"/>
        </w:rPr>
        <w:t xml:space="preserve">, contabilidade de custos de fluxo de materiais </w:t>
      </w:r>
      <w:r w:rsidRPr="00C27487">
        <w:rPr>
          <w:rFonts w:cs="Times New Roman"/>
          <w:szCs w:val="24"/>
        </w:rPr>
        <w:fldChar w:fldCharType="begin" w:fldLock="1"/>
      </w:r>
      <w:r>
        <w:rPr>
          <w:rFonts w:cs="Times New Roman"/>
          <w:szCs w:val="24"/>
        </w:rPr>
        <w:instrText>ADDIN CSL_CITATION {"citationItems":[{"id":"ITEM-1","itemData":{"DOI":"10.1016/j.jclepro.2014.09.005","ISSN":"09596526","abstract":"Recent times have seen the business world challenged to improve efficiency by reducing its material and energy usage. Material flow cost accounting has been suggested as a management tool that can assist and a new international environmental management accounting standard, ISO 14051, has emerged for consideration by business. This paper presents a review of extant MFCA literature, the purpose being to develop a research agenda which will provide a foundation for future development of the material flow cost accounting</w:instrText>
      </w:r>
      <w:r w:rsidRPr="00253F3B">
        <w:rPr>
          <w:rFonts w:cs="Times New Roman"/>
          <w:szCs w:val="24"/>
        </w:rPr>
        <w:instrText xml:space="preserve"> tool. Concerns are raised about the absence of theorising behind material flow cost accounting; the lack of knowledge and application of the tool in practice; the need for survey, interview and statistical research methods to supplement case studies; lack of systematic evidence of the tool's applicability beyond manufacturing and in different firm sizes; and complementarity with other accounting tools used to improve performance. An agenda identifying promising avenues for research, the scope of application within companies and broadening of methods for investigation is then outlined.","author":[{"dropping-particle":"","family":"Christ","given":"Katherine L.","non-dropping-particle":"","parse-names":false,"suffix":""},{"dropping-particle":"","family":"Burritt","given":"Rog</w:instrText>
      </w:r>
      <w:r w:rsidRPr="002F4626">
        <w:rPr>
          <w:rFonts w:cs="Times New Roman"/>
          <w:szCs w:val="24"/>
        </w:rPr>
        <w:instrText>er L.","non-dropping-particle":"","parse-names":false,"suffix":""}],"container-title":"Journal of Cleaner Production","id":"ITEM-1","issued":{"date-parts":[["2015","12","1"]]},"page":"1378-1389","publisher":"Elsevier Ltd","title":"Material flow cost accounting: A review and agenda for future research","type":"article","volume":"108"},"uris":["http://www.mendeley.com/documents/?uuid=d88c452f-09df-3f70-9cbe-7ff68cbd2c0d"]}],"mendeley":{"formattedCitation":"(CHRIST; BURRITT, 2015)","plainTextFormattedCitation":"(CHRIST; BURRITT, 2015)","previouslyFormattedCitation":"(CHRIST; BURRITT, 2015)"},"properties":{"noteIndex":0},"schema":"https://github.com/citation-style-language/schema/raw/master/csl-citation.json"}</w:instrText>
      </w:r>
      <w:r w:rsidRPr="00C27487">
        <w:rPr>
          <w:rFonts w:cs="Times New Roman"/>
          <w:szCs w:val="24"/>
        </w:rPr>
        <w:fldChar w:fldCharType="separate"/>
      </w:r>
      <w:r w:rsidRPr="002F4626">
        <w:rPr>
          <w:rFonts w:cs="Times New Roman"/>
          <w:noProof/>
          <w:szCs w:val="24"/>
        </w:rPr>
        <w:t>(CHRIST; BURRITT, 2015)</w:t>
      </w:r>
      <w:r w:rsidRPr="00C27487">
        <w:rPr>
          <w:rFonts w:cs="Times New Roman"/>
          <w:szCs w:val="24"/>
        </w:rPr>
        <w:fldChar w:fldCharType="end"/>
      </w:r>
      <w:r w:rsidR="004F1DE4" w:rsidRPr="002F4626">
        <w:rPr>
          <w:rFonts w:cs="Times New Roman"/>
          <w:szCs w:val="24"/>
        </w:rPr>
        <w:t xml:space="preserve"> e</w:t>
      </w:r>
      <w:r w:rsidRPr="002F4626">
        <w:rPr>
          <w:rFonts w:cs="Times New Roman"/>
          <w:szCs w:val="24"/>
        </w:rPr>
        <w:t xml:space="preserve"> gamificação </w:t>
      </w:r>
      <w:r w:rsidRPr="00C27487">
        <w:rPr>
          <w:rFonts w:cs="Times New Roman"/>
          <w:szCs w:val="24"/>
        </w:rPr>
        <w:fldChar w:fldCharType="begin" w:fldLock="1"/>
      </w:r>
      <w:r w:rsidRPr="002F4626">
        <w:rPr>
          <w:rFonts w:cs="Times New Roman"/>
          <w:szCs w:val="24"/>
        </w:rPr>
        <w:instrText>ADDIN CSL_CITATION {"citationItems":[{"id":"ITEM-1","itemData":{"DOI":"10.1016/j.ijinfomgt.2018.10.013","ISSN":"02684012","abstract":"Today, our reality and lives are increasingly game-like, not only because games have become a pervasive part of our lives, but also because activities, systems and services are increasingly gamified. Gamification refers to designing information systems to afford similar experiences and motivations as games do, and consequently, attempting to affect user behavior. In recent years, popularity of gamification has skyrocketed and manifested in growing numbers of gamified applications, as well as a rapidly increasing amount of research. However, this vein of research has mainly advanced without an agenda, theoretical guidance or a clear picture of the field. To make the picture more coherent, we provide a comprehensive review of the gamification research (N = 819 studies) and analyze the research models and results in empirical studies on gamification. While the results in general lean towards positive findings about the effectiveness of gamification, the amount of mixed results is remarkable. Furthermore, education, health and crowdsourcing as well as points, badges and leaderboards persist as the most common contexts and ways of implementing gamification. Concurrently, gamification research still lacks coherence in research models, and a consistency in the variables and theoretical foundations. As a final contribution of the review, we provide a comprehensive discussion, consisting of 15 future research trajectories, on future agenda for the growing vein of literature on gamification and gameful systems within the information system science field.","author":[{"dropping-particle":"","family":"Koivisto","given":"Jonna","non-dropping-particle":"","parse-names":false,"suffix":""},{"dropping-particle":"","family":"Hamari","given":"Juho","non-dropping-particle":"","parse-names":false,"suffix":""}],"container-title":"International Journal of Information Management","id":"ITEM-1","issued":{"date-parts":[["2019","4","1"]]},"page":"191-210","publisher":"Elsevier Ltd","title":"The rise of motivational information systems: A review of gamification research","type":"article","volume":"45"},"uris":["http://www.mendeley.com/documents/?uuid=73de8cbd-29c8-3fb3-aa47-6a5e87773d37"]}],"mendeley":{"formattedCitation":"(KOIVISTO; HAMARI, 2019)","plainTextFormattedCitation":"(KOIVISTO; HAMARI, 2019)","previouslyFormattedCitation":"(KOIVISTO; HAMARI, 2019)"},"properties":{"noteIndex":0},"schema":"https://github.com/citation-style-language/schema/raw/master/csl-citation.json"}</w:instrText>
      </w:r>
      <w:r w:rsidRPr="00C27487">
        <w:rPr>
          <w:rFonts w:cs="Times New Roman"/>
          <w:szCs w:val="24"/>
        </w:rPr>
        <w:fldChar w:fldCharType="separate"/>
      </w:r>
      <w:r w:rsidRPr="002F4626">
        <w:rPr>
          <w:rFonts w:cs="Times New Roman"/>
          <w:noProof/>
          <w:szCs w:val="24"/>
        </w:rPr>
        <w:t>(KOIVISTO; HAMARI, 2019)</w:t>
      </w:r>
      <w:r w:rsidRPr="00C27487">
        <w:rPr>
          <w:rFonts w:cs="Times New Roman"/>
          <w:szCs w:val="24"/>
        </w:rPr>
        <w:fldChar w:fldCharType="end"/>
      </w:r>
      <w:r w:rsidRPr="002F4626">
        <w:rPr>
          <w:rFonts w:cs="Times New Roman"/>
          <w:szCs w:val="24"/>
        </w:rPr>
        <w:t>.</w:t>
      </w:r>
    </w:p>
    <w:p w14:paraId="4A2B4C70" w14:textId="77777777" w:rsidR="00BC7604" w:rsidRPr="002F4626" w:rsidRDefault="00BC7604" w:rsidP="00BC7604">
      <w:pPr>
        <w:spacing w:after="0" w:line="360" w:lineRule="auto"/>
        <w:ind w:firstLine="708"/>
        <w:jc w:val="both"/>
        <w:rPr>
          <w:rFonts w:cs="Times New Roman"/>
          <w:szCs w:val="24"/>
        </w:rPr>
      </w:pPr>
    </w:p>
    <w:p w14:paraId="7A205048" w14:textId="77777777" w:rsidR="00BC7604" w:rsidRPr="00BF4A84" w:rsidRDefault="00BC7604" w:rsidP="00BC7604">
      <w:pPr>
        <w:spacing w:after="0" w:line="360" w:lineRule="auto"/>
        <w:jc w:val="both"/>
        <w:rPr>
          <w:rFonts w:cs="Times New Roman"/>
          <w:bCs/>
        </w:rPr>
      </w:pPr>
      <w:r w:rsidRPr="00BF4A84">
        <w:rPr>
          <w:rFonts w:cs="Times New Roman"/>
          <w:bCs/>
        </w:rPr>
        <w:t>2.2 Teoria Unificada de Aceitação Uso De Tecnologia (UTAUT)</w:t>
      </w:r>
    </w:p>
    <w:p w14:paraId="44B4D411" w14:textId="77777777" w:rsidR="00BC7604" w:rsidRPr="00BF4A84" w:rsidRDefault="00BC7604" w:rsidP="00BC7604">
      <w:pPr>
        <w:spacing w:after="0" w:line="360" w:lineRule="auto"/>
        <w:jc w:val="both"/>
        <w:rPr>
          <w:rFonts w:cs="Times New Roman"/>
          <w:bCs/>
        </w:rPr>
      </w:pPr>
    </w:p>
    <w:p w14:paraId="68385808" w14:textId="77777777" w:rsidR="00BC7604" w:rsidRPr="00C07364" w:rsidRDefault="00BC7604" w:rsidP="00BC7604">
      <w:pPr>
        <w:spacing w:after="0" w:line="360" w:lineRule="auto"/>
        <w:ind w:firstLine="708"/>
        <w:jc w:val="both"/>
        <w:rPr>
          <w:rFonts w:cs="Times New Roman"/>
        </w:rPr>
      </w:pPr>
      <w:r w:rsidRPr="00C07364">
        <w:rPr>
          <w:rFonts w:cs="Times New Roman"/>
        </w:rPr>
        <w:t xml:space="preserve">Desde </w:t>
      </w:r>
      <w:r w:rsidRPr="00C07364">
        <w:rPr>
          <w:rFonts w:cs="Times New Roman"/>
        </w:rPr>
        <w:fldChar w:fldCharType="begin" w:fldLock="1"/>
      </w:r>
      <w:r w:rsidRPr="00C07364">
        <w:rPr>
          <w:rFonts w:cs="Times New Roman"/>
        </w:rPr>
        <w:instrText>ADDIN CSL_CITATION {"citationItems":[{"id":"ITEM-1","itemData":{"DOI":"citeulike-article-id:126680","ISBN":"0028740742 (CLOTH) 0029266718 (PAPER)","ISSN":"0306-4603","PMID":"12369480","abstract":"Elements of diffusion -- A history of diffusion research -- Contributions and criticisms of diffusion research -- The generation of innovations -- The innovation-decision process -- Attributes of innovations and their rate of adoption -- Innovativeness and adopter categories -- Diffusion networks -- The change agent -- Innovation in organizations -- Consequences of innovations.","author":[{"dropping-particle":"","family":"Rogers","given":"Everett M.","non-dropping-particle":"","parse-names":false,"suffix":""}],"container-title":"Macmillian Publishing Co.","edition":"3","id":"ITEM-1","issued":{"date-parts":[["1983"]]},"number-of-pages":"453","publisher":"The Free Press","publisher-place":"New York","title":"Diffusion of innovations","type":"book"},"uris":["http://www.mendeley.com/documents/?uuid=215008da-81f7-46a4-834c-174b0dac9431"]}],"mendeley":{"formattedCitation":"(ROGERS, 1983)","manualFormatting":"Rogers (1983)","plainTextFormattedCitation":"(ROGERS, 1983)","previouslyFormattedCitation":"(ROGERS, 1983)"},"properties":{"noteIndex":0},"schema":"https://github.com/citation-style-language/schema/raw/master/csl-citation.json"}</w:instrText>
      </w:r>
      <w:r w:rsidRPr="00C07364">
        <w:rPr>
          <w:rFonts w:cs="Times New Roman"/>
        </w:rPr>
        <w:fldChar w:fldCharType="separate"/>
      </w:r>
      <w:r w:rsidRPr="00C07364">
        <w:rPr>
          <w:rFonts w:cs="Times New Roman"/>
        </w:rPr>
        <w:t>Rogers (1983)</w:t>
      </w:r>
      <w:r w:rsidRPr="00C07364">
        <w:rPr>
          <w:rFonts w:cs="Times New Roman"/>
        </w:rPr>
        <w:fldChar w:fldCharType="end"/>
      </w:r>
      <w:r w:rsidRPr="00C07364">
        <w:rPr>
          <w:rFonts w:cs="Times New Roman"/>
        </w:rPr>
        <w:t xml:space="preserve">, com sua teoria sua a Difusão das Inovações, até os Modelos Decompostos da Teoria do Comportamento Planejado de </w:t>
      </w:r>
      <w:r w:rsidRPr="00C07364">
        <w:rPr>
          <w:rFonts w:cs="Times New Roman"/>
        </w:rPr>
        <w:fldChar w:fldCharType="begin" w:fldLock="1"/>
      </w:r>
      <w:r w:rsidRPr="00C07364">
        <w:rPr>
          <w:rFonts w:cs="Times New Roman"/>
        </w:rPr>
        <w:instrText>ADDIN CSL_CITATION {"citationItems":[{"id":"ITEM-1","itemData":{"DOI":"10.1016/0167-8116(94)00019-K","ISSN":"01678116","abstract":"The Theory of Planned Behavior, an extension of the well-known Theory of Reasoned Action, is proposed as a model to predict consumer adoption intention. Three variations of the Theory of Planned Behavior are examined and compared to the Theory of Reasoned Action. The appropriateness of each model is assessed with data from a consumer setting. Structural equation modelling using maximum likelihood estimation for the four models revealed that the traditional forms of the Theory of Reasoned Action and the Theory of Planned Behavior fit the data adequately. Decomposing the belief structures and allowing for crossover effects in the Theory of Planned Behavior resulted in improvements in model prediction. The application of each model to theory development and management intervention is explored.","author":[{"dropping-particle":"","family":"Taylor","given":"Shirley","non-dropping-particle":"","parse-names":false,"suffix":""},{"dropping-particle":"","family":"Todd","given":"Peter","non-dropping-particle":"","parse-names":false,"suffix":""}],"container-title":"International Journal of Research in Marketing","id":"ITEM-1","issue":"2","issued":{"date-parts":[["1995","7","1"]]},"page":"137-155","publisher":"North-Holland","title":"Decomposition and crossover effects in the theory of planned behavior: A study of consumer adoption intentions","type":"article-journal","volume":"12"},"uris":["http://www.mendeley.com/documents/?uuid=63bc69d4-974c-47f7-b084-79e79076d64f"]}],"mendeley":{"formattedCitation":"(TAYLOR; TODD, 1995)","manualFormatting":"Taylor e Todd (1995)","plainTextFormattedCitation":"(TAYLOR; TODD, 1995)","previouslyFormattedCitation":"(TAYLOR; TODD, 1995)"},"properties":{"noteIndex":0},"schema":"https://github.com/citation-style-language/schema/raw/master/csl-citation.json"}</w:instrText>
      </w:r>
      <w:r w:rsidRPr="00C07364">
        <w:rPr>
          <w:rFonts w:cs="Times New Roman"/>
        </w:rPr>
        <w:fldChar w:fldCharType="separate"/>
      </w:r>
      <w:r w:rsidRPr="00C07364">
        <w:rPr>
          <w:rFonts w:cs="Times New Roman"/>
        </w:rPr>
        <w:t>Taylor e Todd (1995)</w:t>
      </w:r>
      <w:r w:rsidRPr="00C07364">
        <w:rPr>
          <w:rFonts w:cs="Times New Roman"/>
        </w:rPr>
        <w:fldChar w:fldCharType="end"/>
      </w:r>
      <w:r w:rsidRPr="00C07364">
        <w:rPr>
          <w:rFonts w:cs="Times New Roman"/>
        </w:rPr>
        <w:t xml:space="preserve">, diversos modelos e teorias propuseram aspectos que explicam o comportamento de adoção ou uso de tecnologias. O UTAUT surgiu com a proposta de unificar vários pontos em comum destes mesmos fenômenos, são exemplos de teorias utilizadas por </w:t>
      </w:r>
      <w:proofErr w:type="spellStart"/>
      <w:r w:rsidRPr="00C07364">
        <w:rPr>
          <w:rFonts w:cs="Times New Roman"/>
        </w:rPr>
        <w:t>Venkatesh</w:t>
      </w:r>
      <w:proofErr w:type="spellEnd"/>
      <w:r w:rsidRPr="00C07364">
        <w:rPr>
          <w:rFonts w:cs="Times New Roman"/>
        </w:rPr>
        <w:t xml:space="preserve"> </w:t>
      </w:r>
      <w:r w:rsidRPr="004F1DE4">
        <w:rPr>
          <w:rFonts w:cs="Times New Roman"/>
          <w:i/>
        </w:rPr>
        <w:t>et al</w:t>
      </w:r>
      <w:r>
        <w:rPr>
          <w:rFonts w:cs="Times New Roman"/>
        </w:rPr>
        <w:t>.</w:t>
      </w:r>
      <w:r w:rsidRPr="00C07364">
        <w:rPr>
          <w:rFonts w:cs="Times New Roman"/>
        </w:rPr>
        <w:t xml:space="preserve"> (2003): Teoria da Ação Racional (TRA), Modelo de Aceitação de Tecnologia (TAM), Modelo Motivacional (MM), Teoria do Comportamento Planejado (TPB), Modelo de Utilização de PC (MPCU), Teoria Cognitiva-Social e até mesmo a combinação de múltiplas teorias, como C-TAM-TPB. Sendo a TRA de </w:t>
      </w:r>
      <w:proofErr w:type="spellStart"/>
      <w:r w:rsidRPr="00C07364">
        <w:rPr>
          <w:rFonts w:cs="Times New Roman"/>
        </w:rPr>
        <w:t>Fishbein</w:t>
      </w:r>
      <w:proofErr w:type="spellEnd"/>
      <w:r w:rsidRPr="00C07364">
        <w:rPr>
          <w:rFonts w:cs="Times New Roman"/>
        </w:rPr>
        <w:t xml:space="preserve"> e </w:t>
      </w:r>
      <w:proofErr w:type="spellStart"/>
      <w:r w:rsidRPr="00C07364">
        <w:rPr>
          <w:rFonts w:cs="Times New Roman"/>
        </w:rPr>
        <w:t>Ajzen</w:t>
      </w:r>
      <w:proofErr w:type="spellEnd"/>
      <w:r w:rsidRPr="00C07364">
        <w:rPr>
          <w:rFonts w:cs="Times New Roman"/>
        </w:rPr>
        <w:t xml:space="preserve"> (1975) a teoria que possui um papel de influência mais forte nas teorias</w:t>
      </w:r>
      <w:r>
        <w:rPr>
          <w:rFonts w:cs="Times New Roman"/>
        </w:rPr>
        <w:t>, anteriormente mencionadas</w:t>
      </w:r>
      <w:r w:rsidRPr="00C07364">
        <w:rPr>
          <w:rFonts w:cs="Times New Roman"/>
        </w:rPr>
        <w:t>.</w:t>
      </w:r>
    </w:p>
    <w:p w14:paraId="54960C2A" w14:textId="1A8317A7" w:rsidR="00BC7604" w:rsidRPr="00C07364" w:rsidRDefault="00BC7604" w:rsidP="00BC7604">
      <w:pPr>
        <w:spacing w:after="0" w:line="360" w:lineRule="auto"/>
        <w:ind w:firstLine="708"/>
        <w:jc w:val="both"/>
        <w:rPr>
          <w:rFonts w:cs="Times New Roman"/>
        </w:rPr>
      </w:pPr>
      <w:r w:rsidRPr="00C07364">
        <w:rPr>
          <w:rFonts w:cs="Times New Roman"/>
        </w:rPr>
        <w:lastRenderedPageBreak/>
        <w:t xml:space="preserve">Ao realizar um levantamento sistemático das pesquisas empíricas </w:t>
      </w:r>
      <w:r>
        <w:rPr>
          <w:rFonts w:cs="Times New Roman"/>
        </w:rPr>
        <w:t xml:space="preserve">e conceituais </w:t>
      </w:r>
      <w:r w:rsidRPr="00C07364">
        <w:rPr>
          <w:rFonts w:cs="Times New Roman"/>
        </w:rPr>
        <w:t xml:space="preserve">da área, </w:t>
      </w:r>
      <w:proofErr w:type="spellStart"/>
      <w:r w:rsidRPr="00C07364">
        <w:rPr>
          <w:rFonts w:cs="Times New Roman"/>
        </w:rPr>
        <w:t>Venkatesh</w:t>
      </w:r>
      <w:proofErr w:type="spellEnd"/>
      <w:r w:rsidRPr="00C07364">
        <w:rPr>
          <w:rFonts w:cs="Times New Roman"/>
        </w:rPr>
        <w:t xml:space="preserve"> </w:t>
      </w:r>
      <w:r w:rsidRPr="004F1DE4">
        <w:rPr>
          <w:rFonts w:cs="Times New Roman"/>
          <w:i/>
        </w:rPr>
        <w:t>et al</w:t>
      </w:r>
      <w:r>
        <w:rPr>
          <w:rFonts w:cs="Times New Roman"/>
        </w:rPr>
        <w:t>.</w:t>
      </w:r>
      <w:r w:rsidRPr="00C07364">
        <w:rPr>
          <w:rFonts w:cs="Times New Roman"/>
        </w:rPr>
        <w:t xml:space="preserve"> (2003) consegui</w:t>
      </w:r>
      <w:r w:rsidR="004F1DE4">
        <w:rPr>
          <w:rFonts w:cs="Times New Roman"/>
        </w:rPr>
        <w:t>ram</w:t>
      </w:r>
      <w:r w:rsidRPr="00C07364">
        <w:rPr>
          <w:rFonts w:cs="Times New Roman"/>
        </w:rPr>
        <w:t xml:space="preserve"> observar com maior precisão a rede </w:t>
      </w:r>
      <w:proofErr w:type="spellStart"/>
      <w:r w:rsidRPr="00C07364">
        <w:rPr>
          <w:rFonts w:cs="Times New Roman"/>
        </w:rPr>
        <w:t>nomológica</w:t>
      </w:r>
      <w:proofErr w:type="spellEnd"/>
      <w:r w:rsidRPr="00C07364">
        <w:rPr>
          <w:rFonts w:cs="Times New Roman"/>
        </w:rPr>
        <w:t xml:space="preserve"> da maior parte do sistema de relacionamentos que envolve o comportamento de utilização de tecnologia. Mapeando suas origens em aspectos individuais e sociais passando por aspectos cognitivos e contextuais até a consumação comportamental.</w:t>
      </w:r>
    </w:p>
    <w:p w14:paraId="1B5D7842" w14:textId="77777777" w:rsidR="00BC7604" w:rsidRPr="00C27487" w:rsidRDefault="00BC7604" w:rsidP="00BC7604">
      <w:pPr>
        <w:spacing w:after="0" w:line="360" w:lineRule="auto"/>
        <w:ind w:firstLine="708"/>
        <w:jc w:val="both"/>
        <w:rPr>
          <w:rFonts w:cs="Times New Roman"/>
        </w:rPr>
      </w:pPr>
      <w:r w:rsidRPr="00C07364">
        <w:rPr>
          <w:rFonts w:cs="Times New Roman"/>
        </w:rPr>
        <w:t xml:space="preserve">As variáveis antecedentes à Intenção Comportamental e o Comportamento de Uso são: Expectativa de Desempenho, Expectativa de Esforço, Influência Social e Condições Facilitadoras. Estas variáveis são moderadas em algum nível pelo Gênero, Idade, Experiência e Voluntariedade de Uso. Sendo que a única variável que possui efeito direto no Comportamento, não sendo mediado pela Intenção Comportamental, é a de Condições Facilitadoras (VENKATESH </w:t>
      </w:r>
      <w:r w:rsidRPr="004F1DE4">
        <w:rPr>
          <w:rFonts w:cs="Times New Roman"/>
          <w:i/>
        </w:rPr>
        <w:t>et al</w:t>
      </w:r>
      <w:r>
        <w:rPr>
          <w:rFonts w:cs="Times New Roman"/>
        </w:rPr>
        <w:t>.</w:t>
      </w:r>
      <w:r w:rsidRPr="00C07364">
        <w:rPr>
          <w:rFonts w:cs="Times New Roman"/>
        </w:rPr>
        <w:t>, 2003).</w:t>
      </w:r>
      <w:r>
        <w:rPr>
          <w:rFonts w:cs="Times New Roman"/>
        </w:rPr>
        <w:t xml:space="preserve"> O modelo c</w:t>
      </w:r>
      <w:r w:rsidRPr="00C27487">
        <w:rPr>
          <w:rFonts w:cs="Times New Roman"/>
        </w:rPr>
        <w:t xml:space="preserve">entraliza os fatores determinantes em críticos e em contingências relacionadas com a previsão da intenção comportamental de usar uma tecnologia e uso de tecnologia, principalmente em contextos organizacionais (VENKATESH </w:t>
      </w:r>
      <w:r w:rsidRPr="004F1DE4">
        <w:rPr>
          <w:rFonts w:cs="Times New Roman"/>
          <w:i/>
        </w:rPr>
        <w:t>et al</w:t>
      </w:r>
      <w:r>
        <w:rPr>
          <w:rFonts w:cs="Times New Roman"/>
        </w:rPr>
        <w:t>.</w:t>
      </w:r>
      <w:r w:rsidRPr="00C27487">
        <w:rPr>
          <w:rFonts w:cs="Times New Roman"/>
        </w:rPr>
        <w:t>, 2003).</w:t>
      </w:r>
    </w:p>
    <w:p w14:paraId="6BDB3D03" w14:textId="77777777" w:rsidR="00BC7604" w:rsidRPr="00C27487" w:rsidRDefault="00BC7604" w:rsidP="00BC7604">
      <w:pPr>
        <w:spacing w:after="0" w:line="360" w:lineRule="auto"/>
        <w:ind w:firstLine="708"/>
        <w:jc w:val="both"/>
        <w:rPr>
          <w:rFonts w:cs="Times New Roman"/>
        </w:rPr>
      </w:pPr>
      <w:r>
        <w:rPr>
          <w:rFonts w:eastAsia="Times New Roman" w:cs="Times New Roman"/>
          <w:szCs w:val="24"/>
        </w:rPr>
        <w:t xml:space="preserve">A Expectativa de Desempenho é o nível que uma pessoa acredita que utilizar determinado sistema de informação pode aumentar seu desempenho. Esta variável foi criada com base na utilidade percebida de certa tecnologia, a motivação que o indivíduo possui, o quanto aquela tecnologia se ajusta às atividades que o indivíduo precisa executar, as vantagens que são percebidas e a expectativa das saídas que podem ser proporcionadas </w:t>
      </w:r>
      <w:r>
        <w:rPr>
          <w:rFonts w:eastAsia="Times New Roman" w:cs="Times New Roman"/>
          <w:szCs w:val="24"/>
        </w:rPr>
        <w:fldChar w:fldCharType="begin" w:fldLock="1"/>
      </w:r>
      <w:r>
        <w:rPr>
          <w:rFonts w:eastAsia="Times New Roman" w:cs="Times New Roman"/>
          <w:szCs w:val="24"/>
        </w:rPr>
        <w:instrText>ADDIN CSL_CITATION {"citationItems":[{"id":"ITEM-1","itemData":{"DOI":"10.2307/30036540","ISSN":"02767783","author":[{"dropping-particle":"","family":"Venkatesh","given":"","non-dropping-particle":"","parse-names":false,"suffix":""},{"dropping-particle":"","family":"Morris","given":"","non-dropping-particle":"","parse-names":false,"suffix":""},{"dropping-particle":"","family":"Davis","given":"","non-dropping-particle":"","parse-names":false,"suffix":""},{"dropping-particle":"","family":"Davis","given":"","non-dropping-particle":"","parse-names":false,"suffix":""}],"container-title":"MIS Quarterly","id":"ITEM-1","issue":"3","issued":{"date-parts":[["2003"]]},"page":"425","title":"User Acceptance of Information Technology: Toward a Unified View","type":"article-journal","volume":"27"},"uris":["http://www.mendeley.com/documents/?uuid=c6f63705-8550-4c28-b9a9-b7c5736472ef"]}],"mendeley":{"formattedCitation":"(VENKATESH et al., 2003)","plainTextFormattedCitation":"(VENKATESH et al., 2003)","previouslyFormattedCitation":"(VENKATESH et al., 2003)"},"properties":{"noteIndex":0},"schema":"https://github.com/citation-style-language/schema/raw/master/csl-citation.json"}</w:instrText>
      </w:r>
      <w:r>
        <w:rPr>
          <w:rFonts w:eastAsia="Times New Roman" w:cs="Times New Roman"/>
          <w:szCs w:val="24"/>
        </w:rPr>
        <w:fldChar w:fldCharType="separate"/>
      </w:r>
      <w:r w:rsidRPr="00F467B2">
        <w:rPr>
          <w:rFonts w:eastAsia="Times New Roman" w:cs="Times New Roman"/>
          <w:noProof/>
          <w:szCs w:val="24"/>
        </w:rPr>
        <w:t xml:space="preserve">(VENKATESH </w:t>
      </w:r>
      <w:r w:rsidRPr="004F1DE4">
        <w:rPr>
          <w:rFonts w:eastAsia="Times New Roman" w:cs="Times New Roman"/>
          <w:i/>
          <w:noProof/>
          <w:szCs w:val="24"/>
        </w:rPr>
        <w:t>et al</w:t>
      </w:r>
      <w:r>
        <w:rPr>
          <w:rFonts w:eastAsia="Times New Roman" w:cs="Times New Roman"/>
          <w:noProof/>
          <w:szCs w:val="24"/>
        </w:rPr>
        <w:t>.</w:t>
      </w:r>
      <w:r w:rsidRPr="00F467B2">
        <w:rPr>
          <w:rFonts w:eastAsia="Times New Roman" w:cs="Times New Roman"/>
          <w:noProof/>
          <w:szCs w:val="24"/>
        </w:rPr>
        <w:t>, 2003)</w:t>
      </w:r>
      <w:r>
        <w:rPr>
          <w:rFonts w:eastAsia="Times New Roman" w:cs="Times New Roman"/>
          <w:szCs w:val="24"/>
        </w:rPr>
        <w:fldChar w:fldCharType="end"/>
      </w:r>
      <w:r>
        <w:rPr>
          <w:rFonts w:eastAsia="Times New Roman" w:cs="Times New Roman"/>
          <w:szCs w:val="24"/>
        </w:rPr>
        <w:t xml:space="preserve">. </w:t>
      </w:r>
      <w:r w:rsidRPr="00C27487">
        <w:rPr>
          <w:rFonts w:cs="Times New Roman"/>
        </w:rPr>
        <w:t>É composto por cinco constructos: utilidade percebida</w:t>
      </w:r>
      <w:r>
        <w:rPr>
          <w:rFonts w:cs="Times New Roman"/>
        </w:rPr>
        <w:t xml:space="preserve"> </w:t>
      </w:r>
      <w:r w:rsidRPr="00C27487">
        <w:rPr>
          <w:rFonts w:cs="Times New Roman"/>
        </w:rPr>
        <w:t xml:space="preserve">(DAVIS, 1989; DAVIS </w:t>
      </w:r>
      <w:r>
        <w:rPr>
          <w:rFonts w:cs="Times New Roman"/>
        </w:rPr>
        <w:t>et al.</w:t>
      </w:r>
      <w:r w:rsidRPr="00C27487">
        <w:rPr>
          <w:rFonts w:cs="Times New Roman"/>
        </w:rPr>
        <w:t>, 1989), motivação extrínseca</w:t>
      </w:r>
      <w:r>
        <w:rPr>
          <w:rFonts w:cs="Times New Roman"/>
        </w:rPr>
        <w:t xml:space="preserve"> </w:t>
      </w:r>
      <w:r w:rsidRPr="00C27487">
        <w:rPr>
          <w:rFonts w:cs="Times New Roman"/>
        </w:rPr>
        <w:t xml:space="preserve">(THOMPSON </w:t>
      </w:r>
      <w:r w:rsidRPr="004F1DE4">
        <w:rPr>
          <w:rFonts w:cs="Times New Roman"/>
          <w:i/>
        </w:rPr>
        <w:t>et al</w:t>
      </w:r>
      <w:r>
        <w:rPr>
          <w:rFonts w:cs="Times New Roman"/>
        </w:rPr>
        <w:t>.</w:t>
      </w:r>
      <w:r w:rsidRPr="00C27487">
        <w:rPr>
          <w:rFonts w:cs="Times New Roman"/>
        </w:rPr>
        <w:t xml:space="preserve">, 1991), ajuste </w:t>
      </w:r>
      <w:r>
        <w:rPr>
          <w:rFonts w:cs="Times New Roman"/>
        </w:rPr>
        <w:t>à</w:t>
      </w:r>
      <w:r w:rsidRPr="00C27487">
        <w:rPr>
          <w:rFonts w:cs="Times New Roman"/>
        </w:rPr>
        <w:t xml:space="preserve"> tarefa, vantagem relativa</w:t>
      </w:r>
      <w:r>
        <w:rPr>
          <w:rFonts w:cs="Times New Roman"/>
        </w:rPr>
        <w:t xml:space="preserve"> </w:t>
      </w:r>
      <w:r w:rsidRPr="00C27487">
        <w:rPr>
          <w:rFonts w:cs="Times New Roman"/>
        </w:rPr>
        <w:t>(MOORE;</w:t>
      </w:r>
      <w:r>
        <w:rPr>
          <w:rFonts w:cs="Times New Roman"/>
        </w:rPr>
        <w:t xml:space="preserve"> </w:t>
      </w:r>
      <w:r w:rsidRPr="00C27487">
        <w:rPr>
          <w:rFonts w:cs="Times New Roman"/>
        </w:rPr>
        <w:t>BENBASAT,1996) e expectativas de resultados</w:t>
      </w:r>
      <w:r>
        <w:rPr>
          <w:rFonts w:cs="Times New Roman"/>
        </w:rPr>
        <w:t xml:space="preserve"> </w:t>
      </w:r>
      <w:r w:rsidRPr="00C27487">
        <w:rPr>
          <w:rFonts w:cs="Times New Roman"/>
        </w:rPr>
        <w:t xml:space="preserve">(COMPEAU; HIGGINS, 1995, JOHNSON; MARAKAS, 2000). </w:t>
      </w:r>
    </w:p>
    <w:p w14:paraId="54C08F67" w14:textId="77777777" w:rsidR="00BC7604" w:rsidRPr="00C27487" w:rsidRDefault="00BC7604" w:rsidP="00BC7604">
      <w:pPr>
        <w:spacing w:after="0" w:line="360" w:lineRule="auto"/>
        <w:ind w:firstLine="708"/>
        <w:jc w:val="both"/>
        <w:rPr>
          <w:rFonts w:cs="Times New Roman"/>
        </w:rPr>
      </w:pPr>
      <w:r>
        <w:rPr>
          <w:rFonts w:eastAsia="Times New Roman" w:cs="Times New Roman"/>
          <w:szCs w:val="24"/>
        </w:rPr>
        <w:t xml:space="preserve">Por outro lado, a Expectativa de Esforço é definida como o nível que facilidade associada com uso da tecnologia - sistema de informação, no caso. Então, variáveis já encontradas na literatura podem ser facilmente associadas com a Expectativa de Esforço como a Facilidade Percebida de Uso do TAM </w:t>
      </w:r>
      <w:r w:rsidRPr="00C27487">
        <w:rPr>
          <w:rFonts w:cs="Times New Roman"/>
        </w:rPr>
        <w:t xml:space="preserve">e TAM2 (DAVIS, 1989; DAVIS </w:t>
      </w:r>
      <w:r>
        <w:rPr>
          <w:rFonts w:cs="Times New Roman"/>
        </w:rPr>
        <w:t>et al.</w:t>
      </w:r>
      <w:r w:rsidRPr="00C27487">
        <w:rPr>
          <w:rFonts w:cs="Times New Roman"/>
        </w:rPr>
        <w:t>, 1989)</w:t>
      </w:r>
      <w:r>
        <w:rPr>
          <w:rFonts w:cs="Times New Roman"/>
        </w:rPr>
        <w:t xml:space="preserve"> e F</w:t>
      </w:r>
      <w:r w:rsidRPr="00C27487">
        <w:rPr>
          <w:rFonts w:cs="Times New Roman"/>
        </w:rPr>
        <w:t xml:space="preserve">acilidade </w:t>
      </w:r>
      <w:r>
        <w:rPr>
          <w:rFonts w:cs="Times New Roman"/>
        </w:rPr>
        <w:t>d</w:t>
      </w:r>
      <w:r w:rsidRPr="00C27487">
        <w:rPr>
          <w:rFonts w:cs="Times New Roman"/>
        </w:rPr>
        <w:t>e Uso do modelo IDT (MOORE; BENBASAT, 1991)</w:t>
      </w:r>
      <w:r>
        <w:rPr>
          <w:rFonts w:eastAsia="Times New Roman" w:cs="Times New Roman"/>
          <w:szCs w:val="24"/>
        </w:rPr>
        <w:t xml:space="preserve">. Também é possível mencionar um aspecto de complexidade do sistema </w:t>
      </w:r>
      <w:r w:rsidRPr="00C27487">
        <w:rPr>
          <w:rFonts w:cs="Times New Roman"/>
        </w:rPr>
        <w:t xml:space="preserve">modelo MPCU (THOMPSON </w:t>
      </w:r>
      <w:r>
        <w:rPr>
          <w:rFonts w:cs="Times New Roman"/>
        </w:rPr>
        <w:t>et al.</w:t>
      </w:r>
      <w:r w:rsidRPr="00C27487">
        <w:rPr>
          <w:rFonts w:cs="Times New Roman"/>
        </w:rPr>
        <w:t>, 1991)</w:t>
      </w:r>
      <w:r>
        <w:rPr>
          <w:rFonts w:eastAsia="Times New Roman" w:cs="Times New Roman"/>
          <w:szCs w:val="24"/>
        </w:rPr>
        <w:t xml:space="preserve"> como antítese, ou item reverso (VENKATESH et al., 2003).</w:t>
      </w:r>
    </w:p>
    <w:p w14:paraId="7A4A513C" w14:textId="77777777" w:rsidR="00BC7604" w:rsidRPr="00C27487" w:rsidRDefault="00BC7604" w:rsidP="00BC7604">
      <w:pPr>
        <w:spacing w:after="0" w:line="360" w:lineRule="auto"/>
        <w:ind w:firstLine="708"/>
        <w:jc w:val="both"/>
        <w:rPr>
          <w:rFonts w:cs="Times New Roman"/>
        </w:rPr>
      </w:pPr>
      <w:r>
        <w:rPr>
          <w:rFonts w:eastAsia="Times New Roman" w:cs="Times New Roman"/>
          <w:szCs w:val="24"/>
        </w:rPr>
        <w:t xml:space="preserve">Em relação à Influência Social, variáveis como fatores sociais </w:t>
      </w:r>
      <w:r w:rsidRPr="00C27487">
        <w:rPr>
          <w:rFonts w:cs="Times New Roman"/>
        </w:rPr>
        <w:t xml:space="preserve">do modelo MPCU (THOMPSON </w:t>
      </w:r>
      <w:r>
        <w:rPr>
          <w:rFonts w:cs="Times New Roman"/>
        </w:rPr>
        <w:t>et al.</w:t>
      </w:r>
      <w:r w:rsidRPr="00C27487">
        <w:rPr>
          <w:rFonts w:cs="Times New Roman"/>
        </w:rPr>
        <w:t>, 1991)</w:t>
      </w:r>
      <w:r>
        <w:rPr>
          <w:rFonts w:eastAsia="Times New Roman" w:cs="Times New Roman"/>
          <w:szCs w:val="24"/>
        </w:rPr>
        <w:t xml:space="preserve">, imagem percebida </w:t>
      </w:r>
      <w:r w:rsidRPr="00C27487">
        <w:rPr>
          <w:rFonts w:cs="Times New Roman"/>
        </w:rPr>
        <w:t>do modelo IDT (MOORE; BENBASAT, 1991)</w:t>
      </w:r>
      <w:r>
        <w:rPr>
          <w:rFonts w:eastAsia="Times New Roman" w:cs="Times New Roman"/>
          <w:szCs w:val="24"/>
        </w:rPr>
        <w:t xml:space="preserve"> e Normas Subjetivas [oriunda da TRA de </w:t>
      </w:r>
      <w:proofErr w:type="spellStart"/>
      <w:r>
        <w:rPr>
          <w:rFonts w:eastAsia="Times New Roman" w:cs="Times New Roman"/>
          <w:szCs w:val="24"/>
        </w:rPr>
        <w:t>Fishbein</w:t>
      </w:r>
      <w:proofErr w:type="spellEnd"/>
      <w:r>
        <w:rPr>
          <w:rFonts w:eastAsia="Times New Roman" w:cs="Times New Roman"/>
          <w:szCs w:val="24"/>
        </w:rPr>
        <w:t xml:space="preserve"> e </w:t>
      </w:r>
      <w:proofErr w:type="spellStart"/>
      <w:r>
        <w:rPr>
          <w:rFonts w:eastAsia="Times New Roman" w:cs="Times New Roman"/>
          <w:szCs w:val="24"/>
        </w:rPr>
        <w:t>Ajzen</w:t>
      </w:r>
      <w:proofErr w:type="spellEnd"/>
      <w:r>
        <w:rPr>
          <w:rFonts w:eastAsia="Times New Roman" w:cs="Times New Roman"/>
          <w:szCs w:val="24"/>
        </w:rPr>
        <w:t xml:space="preserve"> (1975)] são construtos-raiz que deram origem ao componente presente no UTAUT. Pode ser definida como o nível que o </w:t>
      </w:r>
      <w:r>
        <w:rPr>
          <w:rFonts w:eastAsia="Times New Roman" w:cs="Times New Roman"/>
          <w:szCs w:val="24"/>
        </w:rPr>
        <w:lastRenderedPageBreak/>
        <w:t xml:space="preserve">indivíduo percebe que os outros acreditam que é importante utilizar o sistema de informação. Muitas vezes associado com a importância que os colegas de trabalho e escola, pais e parentes, amigos e conhecidos dão para determinada tecnologia, representando a influência de pares sociais (VENKATESH </w:t>
      </w:r>
      <w:r w:rsidRPr="004F1DE4">
        <w:rPr>
          <w:rFonts w:eastAsia="Times New Roman" w:cs="Times New Roman"/>
          <w:i/>
          <w:szCs w:val="24"/>
        </w:rPr>
        <w:t>et al</w:t>
      </w:r>
      <w:r>
        <w:rPr>
          <w:rFonts w:eastAsia="Times New Roman" w:cs="Times New Roman"/>
          <w:szCs w:val="24"/>
        </w:rPr>
        <w:t>., 2003).</w:t>
      </w:r>
    </w:p>
    <w:p w14:paraId="101B5D71" w14:textId="77777777" w:rsidR="00BC7604" w:rsidRDefault="00BC7604" w:rsidP="00BC7604">
      <w:pPr>
        <w:spacing w:after="0" w:line="360" w:lineRule="auto"/>
        <w:ind w:firstLine="708"/>
        <w:jc w:val="both"/>
        <w:rPr>
          <w:rFonts w:cs="Times New Roman"/>
        </w:rPr>
      </w:pPr>
      <w:r>
        <w:rPr>
          <w:rFonts w:eastAsia="Times New Roman" w:cs="Times New Roman"/>
          <w:szCs w:val="24"/>
        </w:rPr>
        <w:t xml:space="preserve">As Condições Facilitadoras foram estudadas inicialmente na Teoria do Comportamento Planejado de </w:t>
      </w:r>
      <w:r>
        <w:rPr>
          <w:rFonts w:eastAsia="Times New Roman" w:cs="Times New Roman"/>
          <w:szCs w:val="24"/>
        </w:rPr>
        <w:fldChar w:fldCharType="begin" w:fldLock="1"/>
      </w:r>
      <w:r>
        <w:rPr>
          <w:rFonts w:eastAsia="Times New Roman" w:cs="Times New Roman"/>
          <w:szCs w:val="24"/>
        </w:rPr>
        <w:instrText>ADDIN CSL_CITATION {"citationItems":[{"id":"ITEM-1","itemData":{"DOI":"10.1007/978-3-642-69746-3_2","author":[{"dropping-particle":"","family":"Ajzen","given":"Icek","non-dropping-particle":"","parse-names":false,"suffix":""}],"chapter-number":"2","container-title":"Action Control","id":"ITEM-1","issued":{"date-parts":[["1985"]]},"page":"11-39","publisher":"Springer Berlin Heidelberg","publisher-place":"Berlin, Heidelberg","title":"From Intentions to Actions: A Theory of Planned Behavior","type":"chapter"},"uris":["http://www.mendeley.com/documents/?uuid=f84c22e6-212f-4db3-ba45-b7154e854706"]}],"mendeley":{"formattedCitation":"(AJZEN, 1985)","manualFormatting":"Ajzen (1985)","plainTextFormattedCitation":"(AJZEN, 1985)","previouslyFormattedCitation":"(AJZEN, 1985)"},"properties":{"noteIndex":0},"schema":"https://github.com/citation-style-language/schema/raw/master/csl-citation.json"}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rPr>
        <w:t>Ajzen (</w:t>
      </w:r>
      <w:r w:rsidRPr="00E156F5">
        <w:rPr>
          <w:rFonts w:eastAsia="Times New Roman" w:cs="Times New Roman"/>
          <w:noProof/>
          <w:szCs w:val="24"/>
        </w:rPr>
        <w:t>1985)</w:t>
      </w:r>
      <w:r>
        <w:rPr>
          <w:rFonts w:eastAsia="Times New Roman" w:cs="Times New Roman"/>
          <w:szCs w:val="24"/>
        </w:rPr>
        <w:fldChar w:fldCharType="end"/>
      </w:r>
      <w:r>
        <w:rPr>
          <w:rFonts w:eastAsia="Times New Roman" w:cs="Times New Roman"/>
          <w:szCs w:val="24"/>
        </w:rPr>
        <w:t xml:space="preserve"> como Percepção de Controle Comportamental, também trabalhado empiricamente em modelos consequentes. Pode ser definida como o nível ao qual o indivíduo acredita que as infraestruturas técnica e organizacional podem suportar sua utilização da tecnologia. Também pode ser observada na literatura como o nível de compatibilidade do indivíduo com a tecnologia (VENKATESH </w:t>
      </w:r>
      <w:r w:rsidRPr="004F1DE4">
        <w:rPr>
          <w:rFonts w:eastAsia="Times New Roman" w:cs="Times New Roman"/>
          <w:i/>
          <w:szCs w:val="24"/>
        </w:rPr>
        <w:t>et al</w:t>
      </w:r>
      <w:r>
        <w:rPr>
          <w:rFonts w:eastAsia="Times New Roman" w:cs="Times New Roman"/>
          <w:szCs w:val="24"/>
        </w:rPr>
        <w:t xml:space="preserve">., 2003). </w:t>
      </w:r>
      <w:r w:rsidRPr="00C27487">
        <w:rPr>
          <w:rFonts w:cs="Times New Roman"/>
        </w:rPr>
        <w:t>Esta definição é apoiada por três constructos diferentes: controle comportamental percebido</w:t>
      </w:r>
      <w:r>
        <w:rPr>
          <w:rFonts w:cs="Times New Roman"/>
        </w:rPr>
        <w:t xml:space="preserve"> do </w:t>
      </w:r>
      <w:r w:rsidRPr="00C27487">
        <w:rPr>
          <w:rFonts w:cs="Times New Roman"/>
        </w:rPr>
        <w:t xml:space="preserve">modelo DTPB (TAYLOR; TODD, 1995), condições facilitadoras do modelo MPCU (THOMPSON </w:t>
      </w:r>
      <w:r w:rsidRPr="004F1DE4">
        <w:rPr>
          <w:rFonts w:cs="Times New Roman"/>
          <w:i/>
        </w:rPr>
        <w:t>et al</w:t>
      </w:r>
      <w:r>
        <w:rPr>
          <w:rFonts w:cs="Times New Roman"/>
        </w:rPr>
        <w:t>.</w:t>
      </w:r>
      <w:r w:rsidRPr="00C27487">
        <w:rPr>
          <w:rFonts w:cs="Times New Roman"/>
        </w:rPr>
        <w:t>, 1991)</w:t>
      </w:r>
      <w:r>
        <w:rPr>
          <w:rFonts w:cs="Times New Roman"/>
        </w:rPr>
        <w:t xml:space="preserve"> </w:t>
      </w:r>
      <w:r w:rsidRPr="00C27487">
        <w:rPr>
          <w:rFonts w:cs="Times New Roman"/>
        </w:rPr>
        <w:t>e compatibilidade</w:t>
      </w:r>
      <w:r>
        <w:rPr>
          <w:rFonts w:cs="Times New Roman"/>
        </w:rPr>
        <w:t xml:space="preserve"> </w:t>
      </w:r>
      <w:r w:rsidRPr="00C27487">
        <w:rPr>
          <w:rFonts w:cs="Times New Roman"/>
        </w:rPr>
        <w:t>do modelo IDT (MOORE; BENBASAT, 1991)</w:t>
      </w:r>
      <w:r>
        <w:rPr>
          <w:rFonts w:cs="Times New Roman"/>
        </w:rPr>
        <w:t>.</w:t>
      </w:r>
    </w:p>
    <w:p w14:paraId="04DC683C" w14:textId="322F2E65" w:rsidR="00BC7604" w:rsidRPr="00C07364" w:rsidRDefault="00BC7604" w:rsidP="00BC7604">
      <w:pPr>
        <w:spacing w:after="0" w:line="360" w:lineRule="auto"/>
        <w:ind w:firstLine="708"/>
        <w:jc w:val="both"/>
        <w:rPr>
          <w:rFonts w:cs="Times New Roman"/>
        </w:rPr>
      </w:pPr>
      <w:r w:rsidRPr="00C07364">
        <w:rPr>
          <w:rFonts w:cs="Times New Roman"/>
        </w:rPr>
        <w:t>Dentro de um contexto ao qual o comportamento, as ações, dos indivíduos são volitivas</w:t>
      </w:r>
      <w:r w:rsidR="004F1DE4">
        <w:rPr>
          <w:rFonts w:cs="Times New Roman"/>
        </w:rPr>
        <w:t>,</w:t>
      </w:r>
      <w:r w:rsidRPr="00C07364">
        <w:rPr>
          <w:rFonts w:cs="Times New Roman"/>
        </w:rPr>
        <w:t xml:space="preserve"> as intenções de executar determinado comportamento influenciam majoritariamente, em quase totalidade a consumação do ato em si. Então, a variável de Intenção Comportamental tem sido a principal preditora empírica do Comportamento, </w:t>
      </w:r>
      <w:proofErr w:type="gramStart"/>
      <w:r w:rsidRPr="00C07364">
        <w:rPr>
          <w:rFonts w:cs="Times New Roman"/>
        </w:rPr>
        <w:t>o mesmo</w:t>
      </w:r>
      <w:proofErr w:type="gramEnd"/>
      <w:r w:rsidRPr="00C07364">
        <w:rPr>
          <w:rFonts w:cs="Times New Roman"/>
        </w:rPr>
        <w:t xml:space="preserve"> vale para a utilização de tecnologias. Uma intenção pode ser definida como uma probabilidade subjetiva de realizar determinado comportamento ou mesmo a sua prontidão para tal, ao passo que sua execução consiste no aspecto comportamental </w:t>
      </w:r>
      <w:r w:rsidRPr="00C07364">
        <w:rPr>
          <w:rFonts w:cs="Times New Roman"/>
        </w:rPr>
        <w:fldChar w:fldCharType="begin" w:fldLock="1"/>
      </w:r>
      <w:r w:rsidRPr="00C07364">
        <w:rPr>
          <w:rFonts w:cs="Times New Roman"/>
        </w:rPr>
        <w:instrText>ADDIN CSL_CITATION {"citationItems":[{"id":"ITEM-1","itemData":{"author":[{"dropping-particle":"","family":"Fishbein","given":"Martin","non-dropping-particle":"","parse-names":false,"suffix":""},{"dropping-particle":"","family":"Ajzen","given":"Icek","non-dropping-particle":"","parse-names":false,"suffix":""}],"id":"ITEM-1","issued":{"date-parts":[["1975"]]},"publisher":"Addison-Wesley Publishing Company","title":"Belief, attitude, intention and behaviour: an introduction to theory and research","type":"book"},"uris":["http://www.mendeley.com/documents/?uuid=de55817e-ad53-4c5e-9432-0cd0d9e5bf7a"]}],"mendeley":{"formattedCitation":"(FISHBEIN; AJZEN, 1975)","plainTextFormattedCitation":"(FISHBEIN; AJZEN, 1975)","previouslyFormattedCitation":"(FISHBEIN; AJZEN, 1975)"},"properties":{"noteIndex":0},"schema":"https://github.com/citation-style-language/schema/raw/master/csl-citation.json"}</w:instrText>
      </w:r>
      <w:r w:rsidRPr="00C07364">
        <w:rPr>
          <w:rFonts w:cs="Times New Roman"/>
        </w:rPr>
        <w:fldChar w:fldCharType="separate"/>
      </w:r>
      <w:r w:rsidRPr="00C07364">
        <w:rPr>
          <w:rFonts w:cs="Times New Roman"/>
        </w:rPr>
        <w:t>(FISHBEIN; AJZEN, 1975)</w:t>
      </w:r>
      <w:r w:rsidRPr="00C07364">
        <w:rPr>
          <w:rFonts w:cs="Times New Roman"/>
        </w:rPr>
        <w:fldChar w:fldCharType="end"/>
      </w:r>
      <w:r w:rsidRPr="00C07364">
        <w:rPr>
          <w:rFonts w:cs="Times New Roman"/>
        </w:rPr>
        <w:t>.</w:t>
      </w:r>
      <w:r>
        <w:rPr>
          <w:rFonts w:cs="Times New Roman"/>
        </w:rPr>
        <w:t xml:space="preserve"> De maneira aplicada, consiste no</w:t>
      </w:r>
      <w:r w:rsidRPr="00C27487">
        <w:rPr>
          <w:rFonts w:cs="Times New Roman"/>
        </w:rPr>
        <w:t xml:space="preserve"> grau em que uma pessoa (usuário) formulou planos conscientes para realizar</w:t>
      </w:r>
      <w:r>
        <w:rPr>
          <w:rFonts w:cs="Times New Roman"/>
        </w:rPr>
        <w:t xml:space="preserve"> (ou continuar realizando)</w:t>
      </w:r>
      <w:r w:rsidRPr="00C27487">
        <w:rPr>
          <w:rFonts w:cs="Times New Roman"/>
        </w:rPr>
        <w:t xml:space="preserve"> ou não algum comportamento futuro</w:t>
      </w:r>
      <w:r>
        <w:rPr>
          <w:rFonts w:cs="Times New Roman"/>
        </w:rPr>
        <w:t>, especificamente o uso de ERP como tecnologia de trabalho</w:t>
      </w:r>
      <w:r w:rsidRPr="00C27487">
        <w:rPr>
          <w:rFonts w:cs="Times New Roman"/>
        </w:rPr>
        <w:t>.</w:t>
      </w:r>
    </w:p>
    <w:p w14:paraId="16977168" w14:textId="77777777" w:rsidR="00BC7604" w:rsidRDefault="00BC7604" w:rsidP="00BC7604">
      <w:pPr>
        <w:spacing w:after="0" w:line="360" w:lineRule="auto"/>
        <w:ind w:firstLine="708"/>
        <w:jc w:val="both"/>
        <w:rPr>
          <w:rFonts w:eastAsia="Times New Roman" w:cs="Times New Roman"/>
          <w:szCs w:val="24"/>
        </w:rPr>
      </w:pPr>
      <w:r>
        <w:rPr>
          <w:rFonts w:eastAsia="Times New Roman" w:cs="Times New Roman"/>
          <w:szCs w:val="24"/>
        </w:rPr>
        <w:t xml:space="preserve">Novas variáveis são incluídas no UTAUT2 </w:t>
      </w:r>
      <w:r w:rsidRPr="004E1897">
        <w:rPr>
          <w:rFonts w:eastAsia="Times New Roman" w:cs="Times New Roman"/>
          <w:szCs w:val="24"/>
        </w:rPr>
        <w:t xml:space="preserve">para </w:t>
      </w:r>
      <w:r>
        <w:rPr>
          <w:rFonts w:eastAsia="Times New Roman" w:cs="Times New Roman"/>
          <w:szCs w:val="24"/>
        </w:rPr>
        <w:t xml:space="preserve">explicar o comportamento de </w:t>
      </w:r>
      <w:r w:rsidRPr="004E1897">
        <w:rPr>
          <w:rFonts w:eastAsia="Times New Roman" w:cs="Times New Roman"/>
          <w:szCs w:val="24"/>
        </w:rPr>
        <w:t xml:space="preserve">uso de tecnologia </w:t>
      </w:r>
      <w:r>
        <w:rPr>
          <w:rFonts w:eastAsia="Times New Roman" w:cs="Times New Roman"/>
          <w:szCs w:val="24"/>
        </w:rPr>
        <w:t>dos indivíduos</w:t>
      </w:r>
      <w:r w:rsidRPr="004E1897">
        <w:rPr>
          <w:rFonts w:eastAsia="Times New Roman" w:cs="Times New Roman"/>
          <w:szCs w:val="24"/>
        </w:rPr>
        <w:t xml:space="preserve"> no contexto do consumo</w:t>
      </w:r>
      <w:r>
        <w:rPr>
          <w:rFonts w:eastAsia="Times New Roman" w:cs="Times New Roman"/>
          <w:szCs w:val="24"/>
        </w:rPr>
        <w:t xml:space="preserve">, são elas: Motivação Hedônica, Preço e Hábito). Outra diferença considerável ao UTAUT é o papel das Condições Facilitadoras. </w:t>
      </w:r>
      <w:proofErr w:type="spellStart"/>
      <w:r>
        <w:rPr>
          <w:rFonts w:eastAsia="Times New Roman" w:cs="Times New Roman"/>
          <w:szCs w:val="24"/>
        </w:rPr>
        <w:t>Venkatesh</w:t>
      </w:r>
      <w:proofErr w:type="spellEnd"/>
      <w:r>
        <w:rPr>
          <w:rFonts w:eastAsia="Times New Roman" w:cs="Times New Roman"/>
          <w:szCs w:val="24"/>
        </w:rPr>
        <w:t xml:space="preserve"> et al. (2012) argumenta que existe um efeito mediado desta variável pela Intenção Comportamental, sendo assim, um efeito indireto no Comportamento de Uso. Hipótese que não aparece no modelo UTAUT de </w:t>
      </w:r>
      <w:proofErr w:type="spellStart"/>
      <w:r>
        <w:rPr>
          <w:rFonts w:eastAsia="Times New Roman" w:cs="Times New Roman"/>
          <w:szCs w:val="24"/>
        </w:rPr>
        <w:t>Venkatesh</w:t>
      </w:r>
      <w:proofErr w:type="spellEnd"/>
      <w:r>
        <w:rPr>
          <w:rFonts w:eastAsia="Times New Roman" w:cs="Times New Roman"/>
          <w:szCs w:val="24"/>
        </w:rPr>
        <w:t xml:space="preserve"> et al. (2003). Apenas o efeito direto é ponto em comum entre os dois.</w:t>
      </w:r>
    </w:p>
    <w:p w14:paraId="4AE671AE" w14:textId="77777777" w:rsidR="00BC7604" w:rsidRPr="004E1897" w:rsidRDefault="00BC7604" w:rsidP="00BC7604">
      <w:pPr>
        <w:spacing w:after="0" w:line="360" w:lineRule="auto"/>
        <w:ind w:firstLine="708"/>
        <w:jc w:val="both"/>
        <w:rPr>
          <w:rFonts w:cs="Times New Roman"/>
        </w:rPr>
      </w:pPr>
      <w:r>
        <w:rPr>
          <w:rFonts w:eastAsia="Times New Roman" w:cs="Times New Roman"/>
          <w:szCs w:val="24"/>
        </w:rPr>
        <w:t xml:space="preserve">A variável Motivação Hedônica pode ser definida como o prazer ou a diversão ao utilizar determinada tecnologia, também podendo ser observada na literatura como o contentamento percebido. </w:t>
      </w:r>
      <w:r w:rsidRPr="004E1897">
        <w:rPr>
          <w:rFonts w:eastAsia="Times New Roman" w:cs="Times New Roman"/>
          <w:szCs w:val="24"/>
        </w:rPr>
        <w:t>Complementar a essa perspectiva da teoria da motivação é a motivação intrínseca ou</w:t>
      </w:r>
      <w:r w:rsidRPr="00C27487">
        <w:rPr>
          <w:rFonts w:cs="Times New Roman"/>
        </w:rPr>
        <w:t xml:space="preserve"> hedônica (VALLERAND, 1997). A motivação hedônica foi incluída </w:t>
      </w:r>
      <w:r w:rsidRPr="00C27487">
        <w:rPr>
          <w:rFonts w:cs="Times New Roman"/>
        </w:rPr>
        <w:lastRenderedPageBreak/>
        <w:t>como um preditor em muitas pesquisas sobre o comportamento do consumidor (HOLBROOK e HIRSCHMAN, 1982) e pesquisas anteriores de Sistemas de Informação no contexto do uso da tecnologia do consumidor (BROWN e VENKATESH, 2005).</w:t>
      </w:r>
    </w:p>
    <w:p w14:paraId="05A40452" w14:textId="77777777" w:rsidR="00BC7604" w:rsidRDefault="00BC7604" w:rsidP="00BC7604">
      <w:pPr>
        <w:tabs>
          <w:tab w:val="left" w:pos="1970"/>
        </w:tabs>
        <w:spacing w:after="0" w:line="360" w:lineRule="auto"/>
        <w:ind w:firstLine="708"/>
        <w:jc w:val="both"/>
        <w:rPr>
          <w:rFonts w:eastAsia="Times New Roman" w:cs="Times New Roman"/>
          <w:szCs w:val="24"/>
        </w:rPr>
      </w:pPr>
      <w:r w:rsidRPr="00C27487">
        <w:rPr>
          <w:rFonts w:cs="Times New Roman"/>
        </w:rPr>
        <w:t>Com base no que foi descrito no referencial teórico sobre o modelo da teoria unificada da aceitação e uso da tecnologia (UTAUT) são propostas as hipóteses de pesquisa que serão testadas.</w:t>
      </w:r>
    </w:p>
    <w:p w14:paraId="004664AE" w14:textId="77777777" w:rsidR="00BC7604" w:rsidRPr="00C27487" w:rsidRDefault="00BC7604" w:rsidP="00BC7604">
      <w:pPr>
        <w:spacing w:after="0" w:line="360" w:lineRule="auto"/>
        <w:ind w:firstLine="708"/>
        <w:jc w:val="both"/>
        <w:rPr>
          <w:rFonts w:cs="Times New Roman"/>
          <w:szCs w:val="24"/>
        </w:rPr>
      </w:pPr>
    </w:p>
    <w:p w14:paraId="2791251B" w14:textId="77777777" w:rsidR="00BC7604" w:rsidRPr="00C27487" w:rsidRDefault="00BC7604" w:rsidP="00BC7604">
      <w:pPr>
        <w:spacing w:after="0" w:line="360" w:lineRule="auto"/>
        <w:jc w:val="center"/>
        <w:rPr>
          <w:rFonts w:cs="Times New Roman"/>
          <w:szCs w:val="24"/>
        </w:rPr>
      </w:pPr>
      <w:r w:rsidRPr="00893741">
        <w:rPr>
          <w:rFonts w:cs="Times New Roman"/>
          <w:szCs w:val="24"/>
        </w:rPr>
        <w:t>Tabela 1 – Hipóteses testadas.</w:t>
      </w:r>
    </w:p>
    <w:tbl>
      <w:tblPr>
        <w:tblW w:w="4609" w:type="pct"/>
        <w:tblLayout w:type="fixed"/>
        <w:tblCellMar>
          <w:left w:w="70" w:type="dxa"/>
          <w:right w:w="70" w:type="dxa"/>
        </w:tblCellMar>
        <w:tblLook w:val="04A0" w:firstRow="1" w:lastRow="0" w:firstColumn="1" w:lastColumn="0" w:noHBand="0" w:noVBand="1"/>
      </w:tblPr>
      <w:tblGrid>
        <w:gridCol w:w="2836"/>
        <w:gridCol w:w="5526"/>
      </w:tblGrid>
      <w:tr w:rsidR="00BC7604" w:rsidRPr="00C27487" w14:paraId="0483B465" w14:textId="77777777" w:rsidTr="00575DCB">
        <w:trPr>
          <w:trHeight w:val="510"/>
        </w:trPr>
        <w:tc>
          <w:tcPr>
            <w:tcW w:w="1696" w:type="pct"/>
            <w:tcBorders>
              <w:top w:val="single" w:sz="4" w:space="0" w:color="auto"/>
              <w:left w:val="nil"/>
              <w:bottom w:val="single" w:sz="8" w:space="0" w:color="auto"/>
              <w:right w:val="nil"/>
            </w:tcBorders>
            <w:shd w:val="clear" w:color="auto" w:fill="auto"/>
            <w:noWrap/>
            <w:vAlign w:val="center"/>
            <w:hideMark/>
          </w:tcPr>
          <w:p w14:paraId="064931A3" w14:textId="77777777" w:rsidR="00BC7604" w:rsidRPr="00C27487" w:rsidRDefault="00BC7604" w:rsidP="00575DCB">
            <w:pPr>
              <w:spacing w:after="0" w:line="360" w:lineRule="auto"/>
              <w:jc w:val="center"/>
              <w:rPr>
                <w:rFonts w:eastAsia="Times New Roman" w:cs="Times New Roman"/>
                <w:b/>
                <w:bCs/>
                <w:color w:val="000000"/>
                <w:sz w:val="20"/>
                <w:szCs w:val="20"/>
                <w:lang w:eastAsia="pt-BR"/>
              </w:rPr>
            </w:pPr>
            <w:r>
              <w:rPr>
                <w:rFonts w:eastAsia="Times New Roman" w:cs="Times New Roman"/>
                <w:b/>
                <w:bCs/>
                <w:color w:val="000000"/>
                <w:sz w:val="20"/>
                <w:szCs w:val="20"/>
                <w:lang w:eastAsia="pt-BR"/>
              </w:rPr>
              <w:t xml:space="preserve">Construto / </w:t>
            </w:r>
            <w:r w:rsidRPr="00C27487">
              <w:rPr>
                <w:rFonts w:eastAsia="Times New Roman" w:cs="Times New Roman"/>
                <w:b/>
                <w:bCs/>
                <w:color w:val="000000"/>
                <w:sz w:val="20"/>
                <w:szCs w:val="20"/>
                <w:lang w:eastAsia="pt-BR"/>
              </w:rPr>
              <w:t>Variável</w:t>
            </w:r>
            <w:r>
              <w:rPr>
                <w:rFonts w:eastAsia="Times New Roman" w:cs="Times New Roman"/>
                <w:b/>
                <w:bCs/>
                <w:color w:val="000000"/>
                <w:sz w:val="20"/>
                <w:szCs w:val="20"/>
                <w:lang w:eastAsia="pt-BR"/>
              </w:rPr>
              <w:t xml:space="preserve"> Latente</w:t>
            </w:r>
          </w:p>
        </w:tc>
        <w:tc>
          <w:tcPr>
            <w:tcW w:w="3304" w:type="pct"/>
            <w:tcBorders>
              <w:top w:val="single" w:sz="4" w:space="0" w:color="auto"/>
              <w:left w:val="nil"/>
              <w:bottom w:val="single" w:sz="8" w:space="0" w:color="auto"/>
              <w:right w:val="nil"/>
            </w:tcBorders>
            <w:shd w:val="clear" w:color="auto" w:fill="auto"/>
            <w:noWrap/>
            <w:vAlign w:val="center"/>
            <w:hideMark/>
          </w:tcPr>
          <w:p w14:paraId="4101FE40" w14:textId="77777777" w:rsidR="00BC7604" w:rsidRPr="00C27487" w:rsidRDefault="00BC7604" w:rsidP="00575DCB">
            <w:pPr>
              <w:spacing w:after="0" w:line="360" w:lineRule="auto"/>
              <w:jc w:val="center"/>
              <w:rPr>
                <w:rFonts w:eastAsia="Times New Roman" w:cs="Times New Roman"/>
                <w:b/>
                <w:bCs/>
                <w:color w:val="000000"/>
                <w:sz w:val="20"/>
                <w:szCs w:val="20"/>
                <w:lang w:eastAsia="pt-BR"/>
              </w:rPr>
            </w:pPr>
            <w:r w:rsidRPr="00C27487">
              <w:rPr>
                <w:rFonts w:eastAsia="Times New Roman" w:cs="Times New Roman"/>
                <w:b/>
                <w:bCs/>
                <w:color w:val="000000"/>
                <w:sz w:val="20"/>
                <w:szCs w:val="20"/>
                <w:lang w:eastAsia="pt-BR"/>
              </w:rPr>
              <w:t>Hipóteses</w:t>
            </w:r>
          </w:p>
        </w:tc>
      </w:tr>
      <w:tr w:rsidR="00BC7604" w:rsidRPr="00C27487" w14:paraId="59037FC0" w14:textId="77777777" w:rsidTr="00575DCB">
        <w:trPr>
          <w:trHeight w:val="510"/>
        </w:trPr>
        <w:tc>
          <w:tcPr>
            <w:tcW w:w="1696" w:type="pct"/>
            <w:tcBorders>
              <w:top w:val="nil"/>
              <w:left w:val="nil"/>
              <w:bottom w:val="single" w:sz="4" w:space="0" w:color="auto"/>
              <w:right w:val="nil"/>
            </w:tcBorders>
            <w:shd w:val="clear" w:color="auto" w:fill="auto"/>
            <w:noWrap/>
            <w:vAlign w:val="center"/>
            <w:hideMark/>
          </w:tcPr>
          <w:p w14:paraId="4BAC43AF" w14:textId="77777777" w:rsidR="00BC7604" w:rsidRPr="00C27487" w:rsidRDefault="00BC7604" w:rsidP="00575DCB">
            <w:pPr>
              <w:spacing w:after="0" w:line="360" w:lineRule="auto"/>
              <w:rPr>
                <w:rFonts w:eastAsia="Times New Roman" w:cs="Times New Roman"/>
                <w:color w:val="000000"/>
                <w:sz w:val="20"/>
                <w:szCs w:val="20"/>
                <w:lang w:eastAsia="pt-BR"/>
              </w:rPr>
            </w:pPr>
            <w:r w:rsidRPr="00C27487">
              <w:rPr>
                <w:rFonts w:eastAsia="Times New Roman" w:cs="Times New Roman"/>
                <w:color w:val="000000"/>
                <w:sz w:val="20"/>
                <w:szCs w:val="20"/>
                <w:lang w:eastAsia="pt-BR"/>
              </w:rPr>
              <w:t>Desempenho</w:t>
            </w:r>
            <w:r>
              <w:rPr>
                <w:rFonts w:eastAsia="Times New Roman" w:cs="Times New Roman"/>
                <w:color w:val="000000"/>
                <w:sz w:val="20"/>
                <w:szCs w:val="20"/>
                <w:lang w:eastAsia="pt-BR"/>
              </w:rPr>
              <w:t xml:space="preserve"> em Vendas</w:t>
            </w:r>
          </w:p>
        </w:tc>
        <w:tc>
          <w:tcPr>
            <w:tcW w:w="3304" w:type="pct"/>
            <w:tcBorders>
              <w:top w:val="nil"/>
              <w:left w:val="nil"/>
              <w:bottom w:val="single" w:sz="4" w:space="0" w:color="auto"/>
              <w:right w:val="nil"/>
            </w:tcBorders>
            <w:shd w:val="clear" w:color="auto" w:fill="auto"/>
            <w:noWrap/>
            <w:vAlign w:val="center"/>
            <w:hideMark/>
          </w:tcPr>
          <w:p w14:paraId="2AAD64DF" w14:textId="77777777" w:rsidR="00BC7604" w:rsidRPr="00C27487" w:rsidRDefault="00BC7604" w:rsidP="00575DCB">
            <w:pPr>
              <w:spacing w:after="0" w:line="360" w:lineRule="auto"/>
              <w:jc w:val="both"/>
              <w:rPr>
                <w:rFonts w:eastAsia="Times New Roman" w:cs="Times New Roman"/>
                <w:color w:val="000000"/>
                <w:sz w:val="20"/>
                <w:szCs w:val="20"/>
                <w:lang w:eastAsia="pt-BR"/>
              </w:rPr>
            </w:pPr>
            <w:r w:rsidRPr="00C27487">
              <w:rPr>
                <w:rFonts w:eastAsia="Times New Roman" w:cs="Times New Roman"/>
                <w:color w:val="000000"/>
                <w:sz w:val="20"/>
                <w:szCs w:val="20"/>
                <w:lang w:eastAsia="pt-BR"/>
              </w:rPr>
              <w:t>H1: Desemprenho</w:t>
            </w:r>
            <w:r>
              <w:rPr>
                <w:rFonts w:eastAsia="Times New Roman" w:cs="Times New Roman"/>
                <w:color w:val="000000"/>
                <w:sz w:val="20"/>
                <w:szCs w:val="20"/>
                <w:lang w:eastAsia="pt-BR"/>
              </w:rPr>
              <w:t xml:space="preserve"> em Vendas</w:t>
            </w:r>
            <w:r w:rsidRPr="00C27487">
              <w:rPr>
                <w:rFonts w:eastAsia="Times New Roman" w:cs="Times New Roman"/>
                <w:color w:val="000000"/>
                <w:sz w:val="20"/>
                <w:szCs w:val="20"/>
                <w:lang w:eastAsia="pt-BR"/>
              </w:rPr>
              <w:t xml:space="preserve"> possuí </w:t>
            </w:r>
            <w:r>
              <w:rPr>
                <w:rFonts w:eastAsia="Times New Roman" w:cs="Times New Roman"/>
                <w:color w:val="000000"/>
                <w:sz w:val="20"/>
                <w:szCs w:val="20"/>
                <w:lang w:eastAsia="pt-BR"/>
              </w:rPr>
              <w:t xml:space="preserve">relação </w:t>
            </w:r>
            <w:r w:rsidRPr="00C27487">
              <w:rPr>
                <w:rFonts w:eastAsia="Times New Roman" w:cs="Times New Roman"/>
                <w:color w:val="000000"/>
                <w:sz w:val="20"/>
                <w:szCs w:val="20"/>
                <w:lang w:eastAsia="pt-BR"/>
              </w:rPr>
              <w:t xml:space="preserve">significante em </w:t>
            </w:r>
            <w:r>
              <w:rPr>
                <w:rFonts w:eastAsia="Times New Roman" w:cs="Times New Roman"/>
                <w:color w:val="000000"/>
                <w:sz w:val="20"/>
                <w:szCs w:val="20"/>
                <w:lang w:eastAsia="pt-BR"/>
              </w:rPr>
              <w:t>Uso do ERP.</w:t>
            </w:r>
          </w:p>
        </w:tc>
      </w:tr>
      <w:tr w:rsidR="00BC7604" w:rsidRPr="00C27487" w14:paraId="457A9415" w14:textId="77777777" w:rsidTr="00575DCB">
        <w:trPr>
          <w:trHeight w:val="510"/>
        </w:trPr>
        <w:tc>
          <w:tcPr>
            <w:tcW w:w="1696" w:type="pct"/>
            <w:tcBorders>
              <w:top w:val="nil"/>
              <w:left w:val="nil"/>
              <w:bottom w:val="single" w:sz="4" w:space="0" w:color="auto"/>
              <w:right w:val="nil"/>
            </w:tcBorders>
            <w:shd w:val="clear" w:color="auto" w:fill="auto"/>
            <w:noWrap/>
            <w:vAlign w:val="center"/>
            <w:hideMark/>
          </w:tcPr>
          <w:p w14:paraId="7648C030" w14:textId="77777777" w:rsidR="00BC7604" w:rsidRPr="00C27487" w:rsidRDefault="00BC7604" w:rsidP="00575DCB">
            <w:pPr>
              <w:spacing w:after="0" w:line="360" w:lineRule="auto"/>
              <w:rPr>
                <w:rFonts w:eastAsia="Times New Roman" w:cs="Times New Roman"/>
                <w:color w:val="000000"/>
                <w:sz w:val="20"/>
                <w:szCs w:val="20"/>
                <w:lang w:eastAsia="pt-BR"/>
              </w:rPr>
            </w:pPr>
            <w:r>
              <w:rPr>
                <w:rFonts w:eastAsia="Times New Roman" w:cs="Times New Roman"/>
                <w:color w:val="000000"/>
                <w:sz w:val="20"/>
                <w:szCs w:val="20"/>
                <w:lang w:eastAsia="pt-BR"/>
              </w:rPr>
              <w:t>Frequência de Uso</w:t>
            </w:r>
          </w:p>
        </w:tc>
        <w:tc>
          <w:tcPr>
            <w:tcW w:w="3304" w:type="pct"/>
            <w:tcBorders>
              <w:top w:val="nil"/>
              <w:left w:val="nil"/>
              <w:bottom w:val="single" w:sz="4" w:space="0" w:color="auto"/>
              <w:right w:val="nil"/>
            </w:tcBorders>
            <w:shd w:val="clear" w:color="auto" w:fill="auto"/>
            <w:noWrap/>
            <w:vAlign w:val="center"/>
            <w:hideMark/>
          </w:tcPr>
          <w:p w14:paraId="6001F0AA" w14:textId="77777777" w:rsidR="00BC7604" w:rsidRPr="00C27487" w:rsidRDefault="00BC7604" w:rsidP="00575DCB">
            <w:pPr>
              <w:spacing w:after="0" w:line="360" w:lineRule="auto"/>
              <w:jc w:val="both"/>
              <w:rPr>
                <w:rFonts w:eastAsia="Times New Roman" w:cs="Times New Roman"/>
                <w:color w:val="000000"/>
                <w:sz w:val="20"/>
                <w:szCs w:val="20"/>
                <w:lang w:eastAsia="pt-BR"/>
              </w:rPr>
            </w:pPr>
            <w:r w:rsidRPr="00C27487">
              <w:rPr>
                <w:rFonts w:eastAsia="Times New Roman" w:cs="Times New Roman"/>
                <w:color w:val="000000"/>
                <w:sz w:val="20"/>
                <w:szCs w:val="20"/>
                <w:lang w:eastAsia="pt-BR"/>
              </w:rPr>
              <w:t xml:space="preserve">H2: </w:t>
            </w:r>
            <w:r>
              <w:rPr>
                <w:rFonts w:eastAsia="Times New Roman" w:cs="Times New Roman"/>
                <w:color w:val="000000"/>
                <w:sz w:val="20"/>
                <w:szCs w:val="20"/>
                <w:lang w:eastAsia="pt-BR"/>
              </w:rPr>
              <w:t>Frequência de Uso</w:t>
            </w:r>
            <w:r w:rsidRPr="00C27487">
              <w:rPr>
                <w:rFonts w:eastAsia="Times New Roman" w:cs="Times New Roman"/>
                <w:color w:val="000000"/>
                <w:sz w:val="20"/>
                <w:szCs w:val="20"/>
                <w:lang w:eastAsia="pt-BR"/>
              </w:rPr>
              <w:t xml:space="preserve"> possuí </w:t>
            </w:r>
            <w:r>
              <w:rPr>
                <w:rFonts w:eastAsia="Times New Roman" w:cs="Times New Roman"/>
                <w:color w:val="000000"/>
                <w:sz w:val="20"/>
                <w:szCs w:val="20"/>
                <w:lang w:eastAsia="pt-BR"/>
              </w:rPr>
              <w:t xml:space="preserve">relação </w:t>
            </w:r>
            <w:r w:rsidRPr="00C27487">
              <w:rPr>
                <w:rFonts w:eastAsia="Times New Roman" w:cs="Times New Roman"/>
                <w:color w:val="000000"/>
                <w:sz w:val="20"/>
                <w:szCs w:val="20"/>
                <w:lang w:eastAsia="pt-BR"/>
              </w:rPr>
              <w:t xml:space="preserve">significante em </w:t>
            </w:r>
            <w:r>
              <w:rPr>
                <w:rFonts w:eastAsia="Times New Roman" w:cs="Times New Roman"/>
                <w:color w:val="000000"/>
                <w:sz w:val="20"/>
                <w:szCs w:val="20"/>
                <w:lang w:eastAsia="pt-BR"/>
              </w:rPr>
              <w:t>Uso do ERP.</w:t>
            </w:r>
          </w:p>
        </w:tc>
      </w:tr>
      <w:tr w:rsidR="00BC7604" w:rsidRPr="00C27487" w14:paraId="61114232" w14:textId="77777777" w:rsidTr="00575DCB">
        <w:trPr>
          <w:trHeight w:val="510"/>
        </w:trPr>
        <w:tc>
          <w:tcPr>
            <w:tcW w:w="1696" w:type="pct"/>
            <w:tcBorders>
              <w:top w:val="nil"/>
              <w:left w:val="nil"/>
              <w:bottom w:val="single" w:sz="4" w:space="0" w:color="auto"/>
              <w:right w:val="nil"/>
            </w:tcBorders>
            <w:shd w:val="clear" w:color="auto" w:fill="auto"/>
            <w:noWrap/>
            <w:vAlign w:val="center"/>
            <w:hideMark/>
          </w:tcPr>
          <w:p w14:paraId="0A8FB9CE" w14:textId="77777777" w:rsidR="00BC7604" w:rsidRPr="00C27487" w:rsidRDefault="00BC7604" w:rsidP="00575DCB">
            <w:pPr>
              <w:spacing w:after="0" w:line="360" w:lineRule="auto"/>
              <w:rPr>
                <w:rFonts w:eastAsia="Times New Roman" w:cs="Times New Roman"/>
                <w:color w:val="000000"/>
                <w:sz w:val="20"/>
                <w:szCs w:val="20"/>
                <w:lang w:eastAsia="pt-BR"/>
              </w:rPr>
            </w:pPr>
            <w:r>
              <w:rPr>
                <w:rFonts w:eastAsia="Times New Roman" w:cs="Times New Roman"/>
                <w:color w:val="000000"/>
                <w:sz w:val="20"/>
                <w:szCs w:val="20"/>
                <w:lang w:eastAsia="pt-BR"/>
              </w:rPr>
              <w:t>Tempo de Uso</w:t>
            </w:r>
          </w:p>
        </w:tc>
        <w:tc>
          <w:tcPr>
            <w:tcW w:w="3304" w:type="pct"/>
            <w:tcBorders>
              <w:top w:val="nil"/>
              <w:left w:val="nil"/>
              <w:bottom w:val="single" w:sz="4" w:space="0" w:color="auto"/>
              <w:right w:val="nil"/>
            </w:tcBorders>
            <w:shd w:val="clear" w:color="auto" w:fill="auto"/>
            <w:noWrap/>
            <w:vAlign w:val="center"/>
            <w:hideMark/>
          </w:tcPr>
          <w:p w14:paraId="46D7D4F3" w14:textId="77777777" w:rsidR="00BC7604" w:rsidRPr="00C27487" w:rsidRDefault="00BC7604" w:rsidP="00575DCB">
            <w:pPr>
              <w:spacing w:after="0" w:line="360" w:lineRule="auto"/>
              <w:jc w:val="both"/>
              <w:rPr>
                <w:rFonts w:eastAsia="Times New Roman" w:cs="Times New Roman"/>
                <w:color w:val="000000"/>
                <w:sz w:val="20"/>
                <w:szCs w:val="20"/>
                <w:lang w:eastAsia="pt-BR"/>
              </w:rPr>
            </w:pPr>
            <w:r w:rsidRPr="00C27487">
              <w:rPr>
                <w:rFonts w:eastAsia="Times New Roman" w:cs="Times New Roman"/>
                <w:color w:val="000000"/>
                <w:sz w:val="20"/>
                <w:szCs w:val="20"/>
                <w:lang w:eastAsia="pt-BR"/>
              </w:rPr>
              <w:t xml:space="preserve">H3:  </w:t>
            </w:r>
            <w:r>
              <w:rPr>
                <w:rFonts w:eastAsia="Times New Roman" w:cs="Times New Roman"/>
                <w:color w:val="000000"/>
                <w:sz w:val="20"/>
                <w:szCs w:val="20"/>
                <w:lang w:eastAsia="pt-BR"/>
              </w:rPr>
              <w:t>Tempo de Uso</w:t>
            </w:r>
            <w:r w:rsidRPr="00C27487">
              <w:rPr>
                <w:rFonts w:eastAsia="Times New Roman" w:cs="Times New Roman"/>
                <w:color w:val="000000"/>
                <w:sz w:val="20"/>
                <w:szCs w:val="20"/>
                <w:lang w:eastAsia="pt-BR"/>
              </w:rPr>
              <w:t xml:space="preserve"> possuí </w:t>
            </w:r>
            <w:r>
              <w:rPr>
                <w:rFonts w:eastAsia="Times New Roman" w:cs="Times New Roman"/>
                <w:color w:val="000000"/>
                <w:sz w:val="20"/>
                <w:szCs w:val="20"/>
                <w:lang w:eastAsia="pt-BR"/>
              </w:rPr>
              <w:t xml:space="preserve">relação </w:t>
            </w:r>
            <w:r w:rsidRPr="00C27487">
              <w:rPr>
                <w:rFonts w:eastAsia="Times New Roman" w:cs="Times New Roman"/>
                <w:color w:val="000000"/>
                <w:sz w:val="20"/>
                <w:szCs w:val="20"/>
                <w:lang w:eastAsia="pt-BR"/>
              </w:rPr>
              <w:t xml:space="preserve">significante em </w:t>
            </w:r>
            <w:r>
              <w:rPr>
                <w:rFonts w:eastAsia="Times New Roman" w:cs="Times New Roman"/>
                <w:color w:val="000000"/>
                <w:sz w:val="20"/>
                <w:szCs w:val="20"/>
                <w:lang w:eastAsia="pt-BR"/>
              </w:rPr>
              <w:t>Uso do ERP.</w:t>
            </w:r>
          </w:p>
        </w:tc>
      </w:tr>
      <w:tr w:rsidR="00BC7604" w:rsidRPr="00C27487" w14:paraId="10085452" w14:textId="77777777" w:rsidTr="00575DCB">
        <w:trPr>
          <w:trHeight w:val="510"/>
        </w:trPr>
        <w:tc>
          <w:tcPr>
            <w:tcW w:w="1696" w:type="pct"/>
            <w:vMerge w:val="restart"/>
            <w:tcBorders>
              <w:top w:val="nil"/>
              <w:left w:val="nil"/>
              <w:right w:val="nil"/>
            </w:tcBorders>
            <w:shd w:val="clear" w:color="auto" w:fill="auto"/>
            <w:noWrap/>
            <w:vAlign w:val="center"/>
            <w:hideMark/>
          </w:tcPr>
          <w:p w14:paraId="6E2562C9" w14:textId="77777777" w:rsidR="00BC7604" w:rsidRPr="00C27487" w:rsidRDefault="00BC7604" w:rsidP="00575DCB">
            <w:pPr>
              <w:spacing w:after="0" w:line="360" w:lineRule="auto"/>
              <w:rPr>
                <w:rFonts w:eastAsia="Times New Roman" w:cs="Times New Roman"/>
                <w:color w:val="000000"/>
                <w:sz w:val="20"/>
                <w:szCs w:val="20"/>
                <w:lang w:eastAsia="pt-BR"/>
              </w:rPr>
            </w:pPr>
            <w:r w:rsidRPr="00C27487">
              <w:rPr>
                <w:rFonts w:eastAsia="Times New Roman" w:cs="Times New Roman"/>
                <w:color w:val="000000"/>
                <w:sz w:val="20"/>
                <w:szCs w:val="20"/>
                <w:lang w:eastAsia="pt-BR"/>
              </w:rPr>
              <w:t>Condições Facilitadoras</w:t>
            </w:r>
            <w:r w:rsidRPr="00C27487">
              <w:rPr>
                <w:rFonts w:eastAsia="Times New Roman" w:cs="Times New Roman"/>
                <w:color w:val="000000"/>
                <w:sz w:val="22"/>
                <w:lang w:eastAsia="pt-BR"/>
              </w:rPr>
              <w:t> </w:t>
            </w:r>
          </w:p>
        </w:tc>
        <w:tc>
          <w:tcPr>
            <w:tcW w:w="3304" w:type="pct"/>
            <w:tcBorders>
              <w:top w:val="nil"/>
              <w:left w:val="nil"/>
              <w:bottom w:val="nil"/>
              <w:right w:val="nil"/>
            </w:tcBorders>
            <w:shd w:val="clear" w:color="auto" w:fill="auto"/>
            <w:noWrap/>
            <w:vAlign w:val="center"/>
            <w:hideMark/>
          </w:tcPr>
          <w:p w14:paraId="2B4BA511" w14:textId="77777777" w:rsidR="00BC7604" w:rsidRPr="00C27487" w:rsidRDefault="00BC7604" w:rsidP="00575DCB">
            <w:pPr>
              <w:spacing w:after="0" w:line="360" w:lineRule="auto"/>
              <w:jc w:val="both"/>
              <w:rPr>
                <w:rFonts w:eastAsia="Times New Roman" w:cs="Times New Roman"/>
                <w:color w:val="000000"/>
                <w:sz w:val="20"/>
                <w:szCs w:val="20"/>
                <w:lang w:eastAsia="pt-BR"/>
              </w:rPr>
            </w:pPr>
          </w:p>
        </w:tc>
      </w:tr>
      <w:tr w:rsidR="00BC7604" w:rsidRPr="00C27487" w14:paraId="1BE2C762" w14:textId="77777777" w:rsidTr="00575DCB">
        <w:trPr>
          <w:trHeight w:val="510"/>
        </w:trPr>
        <w:tc>
          <w:tcPr>
            <w:tcW w:w="1696" w:type="pct"/>
            <w:vMerge/>
            <w:tcBorders>
              <w:left w:val="nil"/>
              <w:bottom w:val="single" w:sz="4" w:space="0" w:color="auto"/>
              <w:right w:val="nil"/>
            </w:tcBorders>
            <w:shd w:val="clear" w:color="auto" w:fill="auto"/>
            <w:noWrap/>
            <w:vAlign w:val="bottom"/>
            <w:hideMark/>
          </w:tcPr>
          <w:p w14:paraId="2A978AC8" w14:textId="77777777" w:rsidR="00BC7604" w:rsidRPr="00C27487" w:rsidRDefault="00BC7604" w:rsidP="00575DCB">
            <w:pPr>
              <w:spacing w:after="0" w:line="360" w:lineRule="auto"/>
              <w:rPr>
                <w:rFonts w:eastAsia="Times New Roman" w:cs="Times New Roman"/>
                <w:color w:val="000000"/>
                <w:sz w:val="22"/>
                <w:lang w:eastAsia="pt-BR"/>
              </w:rPr>
            </w:pPr>
          </w:p>
        </w:tc>
        <w:tc>
          <w:tcPr>
            <w:tcW w:w="3304" w:type="pct"/>
            <w:tcBorders>
              <w:top w:val="nil"/>
              <w:left w:val="nil"/>
              <w:bottom w:val="single" w:sz="4" w:space="0" w:color="auto"/>
              <w:right w:val="nil"/>
            </w:tcBorders>
            <w:shd w:val="clear" w:color="auto" w:fill="auto"/>
            <w:noWrap/>
            <w:vAlign w:val="center"/>
            <w:hideMark/>
          </w:tcPr>
          <w:p w14:paraId="12B3EEF4" w14:textId="77777777" w:rsidR="00BC7604" w:rsidRPr="00C27487" w:rsidRDefault="00BC7604" w:rsidP="00575DCB">
            <w:pPr>
              <w:spacing w:after="0" w:line="360" w:lineRule="auto"/>
              <w:jc w:val="both"/>
              <w:rPr>
                <w:rFonts w:eastAsia="Times New Roman" w:cs="Times New Roman"/>
                <w:color w:val="000000"/>
                <w:sz w:val="20"/>
                <w:szCs w:val="20"/>
                <w:lang w:eastAsia="pt-BR"/>
              </w:rPr>
            </w:pPr>
            <w:r w:rsidRPr="00C27487">
              <w:rPr>
                <w:rFonts w:eastAsia="Times New Roman" w:cs="Times New Roman"/>
                <w:color w:val="000000"/>
                <w:sz w:val="20"/>
                <w:szCs w:val="20"/>
                <w:lang w:eastAsia="pt-BR"/>
              </w:rPr>
              <w:t>H</w:t>
            </w:r>
            <w:r>
              <w:rPr>
                <w:rFonts w:eastAsia="Times New Roman" w:cs="Times New Roman"/>
                <w:color w:val="000000"/>
                <w:sz w:val="20"/>
                <w:szCs w:val="20"/>
                <w:lang w:eastAsia="pt-BR"/>
              </w:rPr>
              <w:t>4</w:t>
            </w:r>
            <w:r w:rsidRPr="00C27487">
              <w:rPr>
                <w:rFonts w:eastAsia="Times New Roman" w:cs="Times New Roman"/>
                <w:color w:val="000000"/>
                <w:sz w:val="20"/>
                <w:szCs w:val="20"/>
                <w:lang w:eastAsia="pt-BR"/>
              </w:rPr>
              <w:t xml:space="preserve">: Condições Facilitadoras possuí </w:t>
            </w:r>
            <w:r>
              <w:rPr>
                <w:rFonts w:eastAsia="Times New Roman" w:cs="Times New Roman"/>
                <w:color w:val="000000"/>
                <w:sz w:val="20"/>
                <w:szCs w:val="20"/>
                <w:lang w:eastAsia="pt-BR"/>
              </w:rPr>
              <w:t xml:space="preserve">relação </w:t>
            </w:r>
            <w:r w:rsidRPr="00C27487">
              <w:rPr>
                <w:rFonts w:eastAsia="Times New Roman" w:cs="Times New Roman"/>
                <w:color w:val="000000"/>
                <w:sz w:val="20"/>
                <w:szCs w:val="20"/>
                <w:lang w:eastAsia="pt-BR"/>
              </w:rPr>
              <w:t xml:space="preserve">significante em </w:t>
            </w:r>
            <w:r>
              <w:rPr>
                <w:rFonts w:eastAsia="Times New Roman" w:cs="Times New Roman"/>
                <w:color w:val="000000"/>
                <w:sz w:val="20"/>
                <w:szCs w:val="20"/>
                <w:lang w:eastAsia="pt-BR"/>
              </w:rPr>
              <w:t>Uso do ERP.</w:t>
            </w:r>
          </w:p>
        </w:tc>
      </w:tr>
    </w:tbl>
    <w:p w14:paraId="6607ABAD" w14:textId="77777777" w:rsidR="00BC7604" w:rsidRDefault="00BC7604" w:rsidP="00BC7604">
      <w:pPr>
        <w:spacing w:after="0" w:line="360" w:lineRule="auto"/>
        <w:jc w:val="both"/>
        <w:rPr>
          <w:rFonts w:eastAsia="Times New Roman" w:cs="Times New Roman"/>
          <w:sz w:val="20"/>
          <w:szCs w:val="20"/>
        </w:rPr>
      </w:pPr>
      <w:r w:rsidRPr="00627457">
        <w:rPr>
          <w:rFonts w:eastAsia="Times New Roman" w:cs="Times New Roman"/>
          <w:sz w:val="20"/>
          <w:szCs w:val="20"/>
        </w:rPr>
        <w:t>Fonte: Autor (202</w:t>
      </w:r>
      <w:r>
        <w:rPr>
          <w:rFonts w:eastAsia="Times New Roman" w:cs="Times New Roman"/>
          <w:sz w:val="20"/>
          <w:szCs w:val="20"/>
        </w:rPr>
        <w:t>4</w:t>
      </w:r>
      <w:r w:rsidRPr="00627457">
        <w:rPr>
          <w:rFonts w:eastAsia="Times New Roman" w:cs="Times New Roman"/>
          <w:sz w:val="20"/>
          <w:szCs w:val="20"/>
        </w:rPr>
        <w:t>).</w:t>
      </w:r>
    </w:p>
    <w:p w14:paraId="197FC214" w14:textId="77777777" w:rsidR="00BC7604" w:rsidRDefault="00BC7604" w:rsidP="00085176">
      <w:pPr>
        <w:spacing w:after="0" w:line="360" w:lineRule="auto"/>
        <w:jc w:val="both"/>
        <w:rPr>
          <w:rFonts w:cs="Times New Roman"/>
        </w:rPr>
      </w:pPr>
    </w:p>
    <w:p w14:paraId="55453B80" w14:textId="77777777" w:rsidR="00BC7604" w:rsidRPr="00911F09" w:rsidRDefault="00BC7604" w:rsidP="00BC7604">
      <w:pPr>
        <w:spacing w:after="0" w:line="360" w:lineRule="auto"/>
        <w:jc w:val="both"/>
        <w:rPr>
          <w:rFonts w:cs="Times New Roman"/>
          <w:bCs/>
        </w:rPr>
      </w:pPr>
      <w:r w:rsidRPr="00911F09">
        <w:rPr>
          <w:rFonts w:cs="Times New Roman"/>
          <w:bCs/>
        </w:rPr>
        <w:t>2.3 ERP’S e UTAUT</w:t>
      </w:r>
    </w:p>
    <w:p w14:paraId="5C088D37" w14:textId="54D43A98" w:rsidR="00BC7604" w:rsidRPr="00145B0C" w:rsidRDefault="00BC7604" w:rsidP="00BC7604">
      <w:pPr>
        <w:spacing w:after="0" w:line="360" w:lineRule="auto"/>
        <w:ind w:firstLine="708"/>
        <w:jc w:val="both"/>
        <w:rPr>
          <w:rFonts w:cs="Times New Roman"/>
        </w:rPr>
      </w:pPr>
      <w:r w:rsidRPr="00145B0C">
        <w:rPr>
          <w:rFonts w:cs="Times New Roman"/>
        </w:rPr>
        <w:t xml:space="preserve">Existem pesquisas sobre </w:t>
      </w:r>
      <w:proofErr w:type="spellStart"/>
      <w:r w:rsidRPr="00145B0C">
        <w:rPr>
          <w:rFonts w:cs="Times New Roman"/>
        </w:rPr>
        <w:t>ERP’s</w:t>
      </w:r>
      <w:proofErr w:type="spellEnd"/>
      <w:r w:rsidRPr="00145B0C">
        <w:rPr>
          <w:rFonts w:cs="Times New Roman"/>
        </w:rPr>
        <w:t xml:space="preserve"> utilizando o UTAUT dentro do contexto educacional. </w:t>
      </w:r>
      <w:r w:rsidRPr="00145B0C">
        <w:rPr>
          <w:rFonts w:cs="Times New Roman"/>
        </w:rPr>
        <w:fldChar w:fldCharType="begin" w:fldLock="1"/>
      </w:r>
      <w:r w:rsidRPr="00145B0C">
        <w:rPr>
          <w:rFonts w:cs="Times New Roman"/>
        </w:rPr>
        <w:instrText>ADDIN CSL_CITATION {"citationItems":[{"id":"ITEM-1","itemData":{"DOI":"10.1016/j.ijme.2016.05.005","ISSN":"14728117","author":[{"dropping-particle":"","family":"Chauhan","given":"Sumedha","non-dropping-particle":"","parse-names":false,"suffix":""},{"dropping-particle":"","family":"Jaiswal","given":"Mahadeo","non-dropping-particle":"","parse-names":false,"suffix":""}],"container-title":"The International Journal of Management Education","id":"ITEM-1","issue":"3","issued":{"date-parts":[["2016","11"]]},"page":"248-262","publisher":"Elsevier Ltd","title":"Determinants of acceptance of ERP software training in business schools: Empirical investigation using UTAUT model","type":"article-journal","volume":"14"},"uris":["http://www.mendeley.com/documents/?uuid=832e2314-25eb-4d61-81dc-cf3d48ce6e3a"]}],"mendeley":{"formattedCitation":"(CHAUHAN; JAISWAL, 2016)","manualFormatting":"Chauhan e Jaiswal (2016)","plainTextFormattedCitation":"(CHAUHAN; JAISWAL, 2016)","previouslyFormattedCitation":"(CHAUHAN; JAISWAL, 2016)"},"properties":{"noteIndex":0},"schema":"https://github.com/citation-style-language/schema/raw/master/csl-citation.json"}</w:instrText>
      </w:r>
      <w:r w:rsidRPr="00145B0C">
        <w:rPr>
          <w:rFonts w:cs="Times New Roman"/>
        </w:rPr>
        <w:fldChar w:fldCharType="separate"/>
      </w:r>
      <w:r w:rsidRPr="00145B0C">
        <w:rPr>
          <w:rFonts w:cs="Times New Roman"/>
        </w:rPr>
        <w:t>Chauhan e Jaiswal (2016)</w:t>
      </w:r>
      <w:r w:rsidRPr="00145B0C">
        <w:rPr>
          <w:rFonts w:cs="Times New Roman"/>
        </w:rPr>
        <w:fldChar w:fldCharType="end"/>
      </w:r>
      <w:r w:rsidRPr="00145B0C">
        <w:rPr>
          <w:rFonts w:cs="Times New Roman"/>
        </w:rPr>
        <w:t xml:space="preserve"> argumentaram que existem mais duas hipóteses relevantes dentro desse contexto que impactam na intenção de utilização do ERP: conveniência de acesso online e </w:t>
      </w:r>
      <w:proofErr w:type="spellStart"/>
      <w:r w:rsidRPr="00145B0C">
        <w:rPr>
          <w:rFonts w:cs="Times New Roman"/>
        </w:rPr>
        <w:t>inovatividade</w:t>
      </w:r>
      <w:proofErr w:type="spellEnd"/>
      <w:r w:rsidRPr="00145B0C">
        <w:rPr>
          <w:rFonts w:cs="Times New Roman"/>
        </w:rPr>
        <w:t xml:space="preserve"> da TI. Em relação </w:t>
      </w:r>
      <w:r w:rsidR="00001690">
        <w:rPr>
          <w:rFonts w:cs="Times New Roman"/>
        </w:rPr>
        <w:t>à</w:t>
      </w:r>
      <w:r w:rsidRPr="00145B0C">
        <w:rPr>
          <w:rFonts w:cs="Times New Roman"/>
        </w:rPr>
        <w:t xml:space="preserve"> moderação da variável gênero, para a mulheres, somente a hipótese de influência social não foi confirmada; para os homens as hipóteses de conveniência de acesso online, expectativa de esforço e influência social não foram confirmadas. Em relação a moderação por experiência, para os usuários considerados não experientes a conveniência de acesso online e influência social não impactam na intenção; ao levar em consideração os usuários experientes, a expectativa de esforço e a influência social não influenciam na intenção comportamental.</w:t>
      </w:r>
    </w:p>
    <w:p w14:paraId="4F1E7083" w14:textId="77777777" w:rsidR="00BC7604" w:rsidRPr="00145B0C" w:rsidRDefault="00BC7604" w:rsidP="00BC7604">
      <w:pPr>
        <w:spacing w:after="0" w:line="360" w:lineRule="auto"/>
        <w:ind w:firstLine="708"/>
        <w:jc w:val="both"/>
        <w:rPr>
          <w:rFonts w:cs="Times New Roman"/>
        </w:rPr>
      </w:pPr>
      <w:r w:rsidRPr="00145B0C">
        <w:rPr>
          <w:rFonts w:cs="Times New Roman"/>
        </w:rPr>
        <w:fldChar w:fldCharType="begin" w:fldLock="1"/>
      </w:r>
      <w:r w:rsidRPr="00145B0C">
        <w:rPr>
          <w:rFonts w:cs="Times New Roman"/>
        </w:rPr>
        <w:instrText>ADDIN CSL_CITATION {"citationItems":[{"id":"ITEM-1","itemData":{"author":[{"dropping-particle":"","family":"El-masri","given":"Mazen","non-dropping-particle":"","parse-names":false,"suffix":""},{"dropping-particle":"","family":"Lane","given":"Peggy L","non-dropping-particle":"","parse-names":false,"suffix":""},{"dropping-particle":"","family":"Craig","given":"Steven L","non-dropping-particle":"","parse-names":false,"suffix":""}],"container-title":"Journal of Information Systems Education","id":"ITEM-1","issue":"2","issued":{"date-parts":[["2015"]]},"page":"117-134","title":"The Determinants of Student Effort at Learning ERP : A Cultural Perspective","type":"article-journal","volume":"26"},"uris":["http://www.mendeley.com/documents/?uuid=822df1a4-e86f-486a-87cb-037b4d402132"]}],"mendeley":{"formattedCitation":"(EL-MASRI; LANE; CRAIG, 2015)","manualFormatting":"El-Masri, Lane e Craig (2015)","plainTextFormattedCitation":"(EL-MASRI; LANE; CRAIG, 2015)","previouslyFormattedCitation":"(EL-MASRI; LANE; CRAIG, 2015)"},"properties":{"noteIndex":0},"schema":"https://github.com/citation-style-language/schema/raw/master/csl-citation.json"}</w:instrText>
      </w:r>
      <w:r w:rsidRPr="00145B0C">
        <w:rPr>
          <w:rFonts w:cs="Times New Roman"/>
        </w:rPr>
        <w:fldChar w:fldCharType="separate"/>
      </w:r>
      <w:r w:rsidRPr="00145B0C">
        <w:rPr>
          <w:rFonts w:cs="Times New Roman"/>
        </w:rPr>
        <w:t>El-Masri, Lane e Craig (2015)</w:t>
      </w:r>
      <w:r w:rsidRPr="00145B0C">
        <w:rPr>
          <w:rFonts w:cs="Times New Roman"/>
        </w:rPr>
        <w:fldChar w:fldCharType="end"/>
      </w:r>
      <w:r w:rsidRPr="00145B0C">
        <w:rPr>
          <w:rFonts w:cs="Times New Roman"/>
        </w:rPr>
        <w:t xml:space="preserve"> também estudaram </w:t>
      </w:r>
      <w:proofErr w:type="spellStart"/>
      <w:r w:rsidRPr="00145B0C">
        <w:rPr>
          <w:rFonts w:cs="Times New Roman"/>
        </w:rPr>
        <w:t>ERP’s</w:t>
      </w:r>
      <w:proofErr w:type="spellEnd"/>
      <w:r w:rsidRPr="00145B0C">
        <w:rPr>
          <w:rFonts w:cs="Times New Roman"/>
        </w:rPr>
        <w:t xml:space="preserve"> dentro do contexto educacional, agora, adaptando à perspectiva cultural. O objetivo dos autores é de prever o esforço de aprendizagem do ERP, diferentemente do comportamento de uso visto no trabalho de </w:t>
      </w:r>
      <w:r w:rsidRPr="00145B0C">
        <w:rPr>
          <w:rFonts w:cs="Times New Roman"/>
        </w:rPr>
        <w:fldChar w:fldCharType="begin" w:fldLock="1"/>
      </w:r>
      <w:r w:rsidRPr="00145B0C">
        <w:rPr>
          <w:rFonts w:cs="Times New Roman"/>
        </w:rPr>
        <w:instrText>ADDIN CSL_CITATION {"citationItems":[{"id":"ITEM-1","itemData":{"DOI":"10.1016/j.ijme.2016.05.005","ISSN":"14728117","author":[{"dropping-particle":"","family":"Chauhan","given":"Sumedha","non-dropping-particle":"","parse-names":false,"suffix":""},{"dropping-particle":"","family":"Jaiswal","given":"Mahadeo","non-dropping-particle":"","parse-names":false,"suffix":""}],"container-title":"The International Journal of Management Education","id":"ITEM-1","issue":"3","issued":{"date-parts":[["2016","11"]]},"page":"248-262","publisher":"Elsevier Ltd","title":"Determinants of acceptance of ERP software training in business schools: Empirical investigation using UTAUT model","type":"article-journal","volume":"14"},"uris":["http://www.mendeley.com/documents/?uuid=832e2314-25eb-4d61-81dc-cf3d48ce6e3a"]}],"mendeley":{"formattedCitation":"(CHAUHAN; JAISWAL, 2016)","manualFormatting":"Chauhan e Jaiswal (2016)","plainTextFormattedCitation":"(CHAUHAN; JAISWAL, 2016)","previouslyFormattedCitation":"(CHAUHAN; JAISWAL, 2016)"},"properties":{"noteIndex":0},"schema":"https://github.com/citation-style-language/schema/raw/master/csl-citation.json"}</w:instrText>
      </w:r>
      <w:r w:rsidRPr="00145B0C">
        <w:rPr>
          <w:rFonts w:cs="Times New Roman"/>
        </w:rPr>
        <w:fldChar w:fldCharType="separate"/>
      </w:r>
      <w:r w:rsidRPr="00145B0C">
        <w:rPr>
          <w:rFonts w:cs="Times New Roman"/>
        </w:rPr>
        <w:t>Chauhan e Jaiswal (2016)</w:t>
      </w:r>
      <w:r w:rsidRPr="00145B0C">
        <w:rPr>
          <w:rFonts w:cs="Times New Roman"/>
        </w:rPr>
        <w:fldChar w:fldCharType="end"/>
      </w:r>
      <w:r w:rsidRPr="00145B0C">
        <w:rPr>
          <w:rFonts w:cs="Times New Roman"/>
        </w:rPr>
        <w:t xml:space="preserve">. Apesar de utilizarem como base o UTAUT, os autores realizaram </w:t>
      </w:r>
      <w:r w:rsidRPr="00145B0C">
        <w:rPr>
          <w:rFonts w:cs="Times New Roman"/>
        </w:rPr>
        <w:lastRenderedPageBreak/>
        <w:t xml:space="preserve">a inclusão de outras diversas variável independentes e moderadoras que a essência do proposto por </w:t>
      </w:r>
      <w:proofErr w:type="spellStart"/>
      <w:r w:rsidRPr="00145B0C">
        <w:rPr>
          <w:rFonts w:cs="Times New Roman"/>
        </w:rPr>
        <w:t>Venkatesh</w:t>
      </w:r>
      <w:proofErr w:type="spellEnd"/>
      <w:r w:rsidRPr="00145B0C">
        <w:rPr>
          <w:rFonts w:cs="Times New Roman"/>
        </w:rPr>
        <w:t xml:space="preserve"> </w:t>
      </w:r>
      <w:r>
        <w:rPr>
          <w:rFonts w:cs="Times New Roman"/>
        </w:rPr>
        <w:t>et al.</w:t>
      </w:r>
      <w:r w:rsidRPr="00145B0C">
        <w:rPr>
          <w:rFonts w:cs="Times New Roman"/>
        </w:rPr>
        <w:t xml:space="preserve"> (2003) foi minimizada. Como resultado, é possível observar que três (masculinidade, distância do poder e resistência à incerteza) entre os cinco (coletivismo e resistência à incerteza) fatores culturais analisados são significativos no modelo.</w:t>
      </w:r>
    </w:p>
    <w:p w14:paraId="5DCF4341" w14:textId="77777777" w:rsidR="00BC7604" w:rsidRPr="00145B0C" w:rsidRDefault="00BC7604" w:rsidP="00BC7604">
      <w:pPr>
        <w:spacing w:after="0" w:line="360" w:lineRule="auto"/>
        <w:ind w:firstLine="708"/>
        <w:jc w:val="both"/>
        <w:rPr>
          <w:rFonts w:cs="Times New Roman"/>
        </w:rPr>
      </w:pPr>
      <w:r w:rsidRPr="00145B0C">
        <w:rPr>
          <w:rFonts w:cs="Times New Roman"/>
        </w:rPr>
        <w:t xml:space="preserve">O modelo proposto por </w:t>
      </w:r>
      <w:r w:rsidRPr="00145B0C">
        <w:rPr>
          <w:rFonts w:cs="Times New Roman"/>
        </w:rPr>
        <w:fldChar w:fldCharType="begin" w:fldLock="1"/>
      </w:r>
      <w:r w:rsidRPr="00145B0C">
        <w:rPr>
          <w:rFonts w:cs="Times New Roman"/>
        </w:rPr>
        <w:instrText>ADDIN CSL_CITATION {"citationItems":[{"id":"ITEM-1","itemData":{"DOI":"10.17705/1CAIS.02834","ISSN":"15293181","abstract":"This article uses the Unified Theory of Acceptance and Use of Technology model (UTAUT) as the basis for the research framework to examine factors that influence student-perceived learning outcomes and satisfaction in enterprise resource planning (ERP) courses. Antecedent variables considered are student attitude, performance expectancy, effort expectancy, training (hands-on), course structure, and perceived instructor knowledge. A Structural Equation Model (SEM) using LISREL was employed to test the measurement and structural models using a convenience sample of 102 students enrolled in ERP courses. The results showed that student attitude had the largest significant direct impact on student-perceived learning outcomes and satisfaction. Effort expectancy and performance expectancy had significant direct impacts on attitude. Course structure and training (hands-on) had indirect effects on attitude through effort expectancy and performance expectancy. The findings suggest that, in order to impact student attitude and, thus, impact their perceived learning outcomes and satisfaction, instructors should emphasize the importance of learning about ERP systems and should provide clear directions so that students experience a meaningful interaction with ERP systems. Implications for practitioners and educators are reported.","author":[{"dropping-particle":"","family":"Alshare","given":"Khaled A","non-dropping-particle":"","parse-names":false,"suffix":""},{"dropping-particle":"","family":"Lane","given":"Peggy L","non-dropping-particle":"","parse-names":false,"suffix":""}],"container-title":"Communications of the Association for Information Systems","id":"ITEM-1","issued":{"date-parts":[["2011"]]},"page":"571-584","title":"Predicting Student-Perceived Learning Outcomes and Satisfaction in ERP Courses: An Empirical Investigation","type":"article-journal","volume":"28"},"uris":["http://www.mendeley.com/documents/?uuid=b29f0f9f-0043-3be5-bc2a-f837373db7b9"]}],"mendeley":{"formattedCitation":"(ALSHARE; LANE, 2011)","manualFormatting":"Alshare e Lane (2011)","plainTextFormattedCitation":"(ALSHARE; LANE, 2011)","previouslyFormattedCitation":"(ALSHARE; LANE, 2011)"},"properties":{"noteIndex":0},"schema":"https://github.com/citation-style-language/schema/raw/master/csl-citation.json"}</w:instrText>
      </w:r>
      <w:r w:rsidRPr="00145B0C">
        <w:rPr>
          <w:rFonts w:cs="Times New Roman"/>
        </w:rPr>
        <w:fldChar w:fldCharType="separate"/>
      </w:r>
      <w:r w:rsidRPr="00145B0C">
        <w:rPr>
          <w:rFonts w:cs="Times New Roman"/>
        </w:rPr>
        <w:t>Alshare e Lane (2011)</w:t>
      </w:r>
      <w:r w:rsidRPr="00145B0C">
        <w:rPr>
          <w:rFonts w:cs="Times New Roman"/>
        </w:rPr>
        <w:fldChar w:fldCharType="end"/>
      </w:r>
      <w:r w:rsidRPr="00145B0C">
        <w:rPr>
          <w:rFonts w:cs="Times New Roman"/>
        </w:rPr>
        <w:t xml:space="preserve"> é estruturalmente similar ao testado por </w:t>
      </w:r>
      <w:r w:rsidRPr="00145B0C">
        <w:rPr>
          <w:rFonts w:cs="Times New Roman"/>
        </w:rPr>
        <w:fldChar w:fldCharType="begin" w:fldLock="1"/>
      </w:r>
      <w:r w:rsidRPr="00145B0C">
        <w:rPr>
          <w:rFonts w:cs="Times New Roman"/>
        </w:rPr>
        <w:instrText>ADDIN CSL_CITATION {"citationItems":[{"id":"ITEM-1","itemData":{"author":[{"dropping-particle":"","family":"El-masri","given":"Mazen","non-dropping-particle":"","parse-names":false,"suffix":""},{"dropping-particle":"","family":"Lane","given":"Peggy L","non-dropping-particle":"","parse-names":false,"suffix":""},{"dropping-particle":"","family":"Craig","given":"Steven L","non-dropping-particle":"","parse-names":false,"suffix":""}],"container-title":"Journal of Information Systems Education","id":"ITEM-1","issue":"2","issued":{"date-parts":[["2015"]]},"page":"117-134","title":"The Determinants of Student Effort at Learning ERP : A Cultural Perspective","type":"article-journal","volume":"26"},"uris":["http://www.mendeley.com/documents/?uuid=822df1a4-e86f-486a-87cb-037b4d402132"]}],"mendeley":{"formattedCitation":"(EL-MASRI; LANE; CRAIG, 2015)","manualFormatting":"El-Masri, Lane e Craig (2015)","plainTextFormattedCitation":"(EL-MASRI; LANE; CRAIG, 2015)","previouslyFormattedCitation":"(EL-MASRI; LANE; CRAIG, 2015)"},"properties":{"noteIndex":0},"schema":"https://github.com/citation-style-language/schema/raw/master/csl-citation.json"}</w:instrText>
      </w:r>
      <w:r w:rsidRPr="00145B0C">
        <w:rPr>
          <w:rFonts w:cs="Times New Roman"/>
        </w:rPr>
        <w:fldChar w:fldCharType="separate"/>
      </w:r>
      <w:r w:rsidRPr="00145B0C">
        <w:rPr>
          <w:rFonts w:cs="Times New Roman"/>
        </w:rPr>
        <w:t>El-Masri, Lane e Craig (2015)</w:t>
      </w:r>
      <w:r w:rsidRPr="00145B0C">
        <w:rPr>
          <w:rFonts w:cs="Times New Roman"/>
        </w:rPr>
        <w:fldChar w:fldCharType="end"/>
      </w:r>
      <w:r w:rsidRPr="00145B0C">
        <w:rPr>
          <w:rFonts w:cs="Times New Roman"/>
        </w:rPr>
        <w:t>. A diferença principal reside na variável dependente, agora com duas: satisfação do estudante e percepção de aprendizagem. Além disso, os autores também não levam em consideração à perspectiva cultural e algumas variáveis independentes. Como variáveis do UTAUT, os autores dão um destaque especial para a expectativa de esforço e expectativa de desempenho como mediadoras entre as características do curso e a avaliação (positiva ou negativa - atitude) do ERP educacional.</w:t>
      </w:r>
    </w:p>
    <w:p w14:paraId="73540381" w14:textId="77777777" w:rsidR="00BC7604" w:rsidRPr="00145B0C" w:rsidRDefault="00BC7604" w:rsidP="00BC7604">
      <w:pPr>
        <w:spacing w:after="0" w:line="360" w:lineRule="auto"/>
        <w:ind w:firstLine="708"/>
        <w:jc w:val="both"/>
        <w:rPr>
          <w:rFonts w:cs="Times New Roman"/>
        </w:rPr>
      </w:pPr>
      <w:r w:rsidRPr="00145B0C">
        <w:rPr>
          <w:rFonts w:cs="Times New Roman"/>
        </w:rPr>
        <w:t xml:space="preserve">A pesquisa de </w:t>
      </w:r>
      <w:r w:rsidRPr="00145B0C">
        <w:rPr>
          <w:rFonts w:cs="Times New Roman"/>
        </w:rPr>
        <w:fldChar w:fldCharType="begin" w:fldLock="1"/>
      </w:r>
      <w:r w:rsidRPr="00145B0C">
        <w:rPr>
          <w:rFonts w:cs="Times New Roman"/>
        </w:rPr>
        <w:instrText>ADDIN CSL_CITATION {"citationItems":[{"id":"ITEM-1","itemData":{"DOI":"10.1108/17515631211246249","ISSN":"1751-5637","author":[{"dropping-particle":"","family":"Ling Keong","given":"Mei","non-dropping-particle":"","parse-names":false,"suffix":""},{"dropping-particle":"","family":"Ramayah","given":"Thurasamy","non-dropping-particle":"","parse-names":false,"suffix":""},{"dropping-particle":"","family":"Kurnia","given":"Sherah","non-dropping-particle":"","parse-names":false,"suffix":""},{"dropping-particle":"","family":"May Chiun","given":"Lo","non-dropping-particle":"","parse-names":false,"suffix":""}],"container-title":"Business Strategy Series","id":"ITEM-1","issue":"4","issued":{"date-parts":[["2012","6","29"]]},"page":"173-180","title":"Explaining intention to use an enterprise resource planning (ERP) system: an extension of the UTAUT model","type":"article-journal","volume":"13"},"uris":["http://www.mendeley.com/documents/?uuid=9349f803-a921-37d9-a256-9feb1208a473"]}],"mendeley":{"formattedCitation":"(LING KEONG et al., 2012)","manualFormatting":"Keong et al. (2012)","plainTextFormattedCitation":"(LING KEONG et al., 2012)","previouslyFormattedCitation":"(LING KEONG et al., 2012)"},"properties":{"noteIndex":0},"schema":"https://github.com/citation-style-language/schema/raw/master/csl-citation.json"}</w:instrText>
      </w:r>
      <w:r w:rsidRPr="00145B0C">
        <w:rPr>
          <w:rFonts w:cs="Times New Roman"/>
        </w:rPr>
        <w:fldChar w:fldCharType="separate"/>
      </w:r>
      <w:r w:rsidRPr="00145B0C">
        <w:rPr>
          <w:rFonts w:cs="Times New Roman"/>
        </w:rPr>
        <w:t xml:space="preserve">Keong </w:t>
      </w:r>
      <w:r w:rsidRPr="00634674">
        <w:rPr>
          <w:rFonts w:cs="Times New Roman"/>
          <w:i/>
        </w:rPr>
        <w:t>et al</w:t>
      </w:r>
      <w:r>
        <w:rPr>
          <w:rFonts w:cs="Times New Roman"/>
        </w:rPr>
        <w:t>.</w:t>
      </w:r>
      <w:r w:rsidRPr="00145B0C">
        <w:rPr>
          <w:rFonts w:cs="Times New Roman"/>
        </w:rPr>
        <w:t xml:space="preserve"> (2012)</w:t>
      </w:r>
      <w:r w:rsidRPr="00145B0C">
        <w:rPr>
          <w:rFonts w:cs="Times New Roman"/>
        </w:rPr>
        <w:fldChar w:fldCharType="end"/>
      </w:r>
      <w:r w:rsidRPr="00145B0C">
        <w:rPr>
          <w:rFonts w:cs="Times New Roman"/>
        </w:rPr>
        <w:t xml:space="preserve"> foi direcionada para a expansão teórica do UTAUT, pois não realizaram pesquisa de campo, apesar propuseram um novo modelo a ser testado empiricamente. Os autores sugerem que a variável de condições facilitadoras é composta por três variáveis no contexto de utilização do ERP: crenças compartilhadas, treinamento e comunicação do projeto. Todas com influência direta na intenção de uso do sistema e moderadas pela idade.</w:t>
      </w:r>
    </w:p>
    <w:p w14:paraId="79176578" w14:textId="77777777" w:rsidR="00BC7604" w:rsidRPr="00145B0C" w:rsidRDefault="00BC7604" w:rsidP="00BC7604">
      <w:pPr>
        <w:spacing w:after="0" w:line="360" w:lineRule="auto"/>
        <w:ind w:firstLine="708"/>
        <w:jc w:val="both"/>
        <w:rPr>
          <w:rFonts w:cs="Times New Roman"/>
        </w:rPr>
      </w:pPr>
      <w:r w:rsidRPr="00145B0C">
        <w:rPr>
          <w:rFonts w:cs="Times New Roman"/>
        </w:rPr>
        <w:fldChar w:fldCharType="begin" w:fldLock="1"/>
      </w:r>
      <w:r w:rsidRPr="00145B0C">
        <w:rPr>
          <w:rFonts w:cs="Times New Roman"/>
        </w:rPr>
        <w:instrText>ADDIN CSL_CITATION {"citationItems":[{"id":"ITEM-1","itemData":{"DOI":"10.1186/s40535-017-0034-5","ISSN":"2196-0089","author":[{"dropping-particle":"","family":"Wagaw","given":"Mekonnen","non-dropping-particle":"","parse-names":false,"suffix":""}],"container-title":"Applied Informatics","id":"ITEM-1","issue":"1","issued":{"date-parts":[["2017","12","14"]]},"page":"6","title":"Acceptance of homegrown enterprise resource planning (ERP) systems in Ethiopia","type":"article-journal","volume":"4"},"uris":["http://www.mendeley.com/documents/?uuid=a0cb7e6c-b2d3-3a04-839f-e172693aef01"]}],"mendeley":{"formattedCitation":"(WAGAW, 2017)","manualFormatting":"Wagaw (2017)","plainTextFormattedCitation":"(WAGAW, 2017)","previouslyFormattedCitation":"(WAGAW, 2017)"},"properties":{"noteIndex":0},"schema":"https://github.com/citation-style-language/schema/raw/master/csl-citation.json"}</w:instrText>
      </w:r>
      <w:r w:rsidRPr="00145B0C">
        <w:rPr>
          <w:rFonts w:cs="Times New Roman"/>
        </w:rPr>
        <w:fldChar w:fldCharType="separate"/>
      </w:r>
      <w:r w:rsidRPr="00145B0C">
        <w:rPr>
          <w:rFonts w:cs="Times New Roman"/>
        </w:rPr>
        <w:t>Wagaw (2017)</w:t>
      </w:r>
      <w:r w:rsidRPr="00145B0C">
        <w:rPr>
          <w:rFonts w:cs="Times New Roman"/>
        </w:rPr>
        <w:fldChar w:fldCharType="end"/>
      </w:r>
      <w:r w:rsidRPr="00145B0C">
        <w:rPr>
          <w:rFonts w:cs="Times New Roman"/>
        </w:rPr>
        <w:t xml:space="preserve"> também propôs uma expansão teórica do UTAUT com a adição duas novas variáveis preditoras da intenção de uso do ERP: vantagem competitiva e efetividade de custo (moderada pelo nível de experiência do usuário), a primeira significa o nível de crença que a tecnologia em questão pode prover vantagem competitiva no mercado e a segunda significa o nível de crença que a relação custo-benefício da tecnologia é adequada. O autor confirmou as hipóteses propostas e encontrou que possuem forte relação com a intenção.</w:t>
      </w:r>
    </w:p>
    <w:p w14:paraId="119CA54E" w14:textId="77777777" w:rsidR="00BC7604" w:rsidRPr="00145B0C" w:rsidRDefault="00BC7604" w:rsidP="00BC7604">
      <w:pPr>
        <w:spacing w:after="0" w:line="360" w:lineRule="auto"/>
        <w:ind w:firstLine="708"/>
        <w:jc w:val="both"/>
        <w:rPr>
          <w:rFonts w:cs="Times New Roman"/>
        </w:rPr>
      </w:pPr>
      <w:r w:rsidRPr="00145B0C">
        <w:rPr>
          <w:rFonts w:cs="Times New Roman"/>
        </w:rPr>
        <w:t xml:space="preserve">Por fim, foram encontrados quatro trabalhos de revisão da literatura sobre os modelos UTAUT e UTAUT2 </w:t>
      </w:r>
      <w:r w:rsidRPr="00145B0C">
        <w:rPr>
          <w:rFonts w:cs="Times New Roman"/>
        </w:rPr>
        <w:fldChar w:fldCharType="begin" w:fldLock="1"/>
      </w:r>
      <w:r w:rsidRPr="00145B0C">
        <w:rPr>
          <w:rFonts w:cs="Times New Roman"/>
        </w:rPr>
        <w:instrText>ADDIN CSL_CITATION {"citationItems":[{"id":"ITEM-1","itemData":{"DOI":"10.21512/tw.v13i2.656","ISSN":"2541-2388","abstract":"This study reviews the most recent literature on UTAUT (Unified Theory of Acceptance, and Use of Technology) and UTAUT 2(Unified Theory of Acceptance, and Use of Technology) 2 by focusing on the findings and recommended future research. The papers, proceedings and dissertations included in the analysis were identified technology acceptance as the focus of their studies. This search was supplemented various websites which host scientific journals such as Emerald, Science Direct and Google Scholar. The initial search produced 65 papers. The studies examined works which employed UTAUT and UTAUT 2 by focusing on findings on the core constructs of UTAUT to predict Behavioral Intentions. The results confirmed previous studies that the four constructs of UTAUT contributed to Behavioral Intention even though PE seemed to be the most significant contributors. Findings also suggest UTAUT 2 has been more explanatory and list the suggestions for future works. The immediate implications are for researchers who wish to examine behavioral intentions, and managers who wish to ensure the acceptance and use of a new system or technology. This study bears a number of limitations. Number of papers examined is one of them. It would be more accurate to increase the number of paper examined. The other limitation is the ability to draw a statistical conclusion each research examined. This is due to a great variety of research topics, methods, constructs and contexts.","author":[{"dropping-particle":"","family":"Chang","given":"Andreas","non-dropping-particle":"","parse-names":false,"suffix":""}],"container-title":"The Winners","id":"ITEM-1","issue":"2","issued":{"date-parts":[["2012","9","28"]]},"page":"10","publisher":"Universitas Bina Nusantara","title":"UTAUT and UTAUT 2: A Review and Agenda for Future Research","type":"article-journal","volume":"13"},"uris":["http://www.mendeley.com/documents/?uuid=62fefeda-7a7b-3d7c-9048-c9686043ae42"]},{"id":"ITEM-2","itemData":{"DOI":"10.1007/978-3-642-24148-2_10","abstract":"The originating article of the Unified Theory of Acceptance and Use of Technology (UTAUT) has been cited by a large number of studies. However, a detailed examination of such citations revealed that only small proportion (43 articles) of these citations actually utilized the theory or its constructs in their empirical research for examining IS/IT related issues. In order to examine whether the theory is performing consistently well across various studies, this research aims to undertake a statistical meta-analysis of findings reported in 43 published studies that have actually utilized UTAUT or its constructs in their empirical research. Findings reveal the underperformance of theory in subsequent studies in comparison to the performance of UTAUT reported in the originating article. The limitations experienced while conducting the meta-analysis, recommendations, and the future scope for the further research in this area have also been briefly explained in concluding section.","author":[{"dropping-particle":"","family":"Dwivedi","given":"Yogesh K","non-dropping-particle":"","parse-names":false,"suffix":""},{"dropping-particle":"","family":"Rana","given":"Nripendra P","non-dropping-particle":"","parse-names":false,"suffix":""},{"dropping-particle":"","family":"Chen","given":"Hsin","non-dropping-particle":"","parse-names":false,"suffix":""},{"dropping-particle":"","family":"Williams","given":"Michael D","non-dropping-particle":"","parse-names":false,"suffix":""}],"id":"ITEM-2","issued":{"date-parts":[["2011"]]},"page":"155-170","title":"A Meta-analysis of the Unified Theory of Acceptance and Use of Technology (UTAUT)","type":"chapter"},"uris":["http://www.mendeley.com/documents/?uuid=90a8629c-d22d-3e33-bdb5-84638e2e1466"]},{"id":"ITEM-3","itemData":{"DOI":"10.1108/JEIM-09-2014-0088","ISSN":"1741-0398","abstract":"Purpose-The purpose of this paper is to perform a systematic review of articles that have used the unified theory of acceptance and use of technology (UTAUT). Design/methodology/approach-The results produced in this research are based on the literature analysis of 174 existing articles on the UTAUT model. This has been performed by collecting data including demographic details, methodological details, limitations, and significance of relationships between the constructs from the available articles based on the UTAUT. Findings-The findings indicated that general purpose systems and specialized business systems were examined in the majority of the articles using the UTAUT. The analysis also indicated that cross-sectional approach, survey methods, and structural equation modelling analysis techniques were the most explored research methodologies whereas SPSS was found to be the largely used analysis tools. Moreover, the weight analysis of independent variables indicates that variables such as performance expectancy and behavioural intention qualified for the best predictor category. Moreover, the analysis also suggested that single subject or biased sample as the most explored limitation across all studies. Research limitations/implications-The search activities were centered on occurrences of keywords to avoid tracing a large number of publications where these keywords might have been used as casual words in the main text. However, we acknowledge that there may be a number of studies, which lack keywords in the title, but still focus upon UTAUT in some form. Originality/value-This is the first research of its type which has extensively examined the literature on the UTAUT and provided the researchers with the accumulative knowledge about the model.","author":[{"dropping-particle":"","family":"Williams","given":"Michael D","non-dropping-particle":"","parse-names":false,"suffix":""},{"dropping-particle":"","family":"Rana","given":"Nripendra P","non-dropping-particle":"","parse-names":false,"suffix":""},{"dropping-particle":"","family":"Dwivedi","given":"Yogesh K","non-dropping-particle":"","parse-names":false,"suffix":""}],"container-title":"Journal of Enterprise Information Management","id":"ITEM-3","issue":"3","issued":{"date-parts":[["2015","4","13"]]},"page":"443-488","title":"The unified theory of acceptance and use of technology (UTAUT): a literature review","type":"article-journal","volume":"28"},"uris":["http://www.mendeley.com/documents/?uuid=d14053a0-ce08-3bac-9a96-959c50f18485"]},{"id":"ITEM-4","itemData":{"DOI":"10.1007/s10796-017-9774-y","ISSN":"1387-3326","abstract":"Based on a critical review of the Unified Theory of Acceptance and Use of Technology (UTAUT), this study first formalized an alternative theoretical model for explaining the acceptance and use of information system (IS) and information technology (IT) innovations. The revised theoretical model was then empirically examined using a combination of meta-analysis and structural equation modelling (MASEM) techniques. The meta-analysis was based on 1600 observations on 21 relationships coded from 162 prior studies on IS/ IT acceptance and use. The SEM analysis showed that attitude: was central to behavioural intentions and usage behaviours , partially mediated the effects of exogenous constructs on behavioural intentions, and had a direct influence on usage behaviours. A number of implications fo</w:instrText>
      </w:r>
      <w:r w:rsidRPr="00911F09">
        <w:rPr>
          <w:rFonts w:cs="Times New Roman"/>
          <w:lang w:val="en-US"/>
        </w:rPr>
        <w:instrText>r theory and practice are derived based on the findings.","author":[{"dropping-particle":"","family":"Dwivedi","given":"Yogesh K","non-dropping-particle":"","parse-names":false,"suffix":""},{"dropping-particle":"","family":"Rana","given":"Nripendra P","non-dropping-particle":"","parse-names":false,"suffix":""},{"dropping-particle":"","family":"Jeyaraj","given":"Anand","non-dropping-particle":"","parse-names":false,"suffix":""},{"dropping-particle":"","family":"Clement","given":"Marc","non-dropping-particle":"","parse-names":false,"suffix":""},{"dropping-particle":"","family":"Williams","given":"Michael D","non-dropping-particle":"","parse-names":false,"suffix":""}],"container-title":"Information Systems Frontiers","id":"ITEM-4","issue":"3","issued":{"date-parts":[["2019","6","8"]]},"page":"719-734","title":"Re-examining the Unified Theory of Acceptance and Use of Technology (UTAUT): Towards a Revised Theoretical Model","type":"article-journal","volume":"21"},"uris":["http://www.mendeley.com/documents/?uuid=bb5e7780-ec0c-3d48-855b-92fa43491cb5"]}],"mendeley":{"formattedCitation":"(CHANG, 2012; DWIVEDI et al., 2011, 2019; WILLIAMS; RANA; DWIVEDI, 2015)","plainTextFormattedCitation":"(CHANG, 2012; DWIVEDI et al., 2011, 2019; WILLIAMS; RANA; DWIVEDI, 2015)","previouslyFormattedCitation":"(CHANG, 2012; DWIVEDI et al., 2011, 2019; WILLIAMS; RANA; DWIVEDI, 2015)"},"properties":{"noteIndex":0},"schema":"https://github.com/citation-style-language/schema/raw/master/csl-citation.json"}</w:instrText>
      </w:r>
      <w:r w:rsidRPr="00145B0C">
        <w:rPr>
          <w:rFonts w:cs="Times New Roman"/>
        </w:rPr>
        <w:fldChar w:fldCharType="separate"/>
      </w:r>
      <w:r w:rsidRPr="00911F09">
        <w:rPr>
          <w:rFonts w:cs="Times New Roman"/>
          <w:lang w:val="en-US"/>
        </w:rPr>
        <w:t xml:space="preserve">(CHANG, 2012; DWIVEDI </w:t>
      </w:r>
      <w:r>
        <w:rPr>
          <w:rFonts w:cs="Times New Roman"/>
          <w:lang w:val="en-US"/>
        </w:rPr>
        <w:t>et al.</w:t>
      </w:r>
      <w:r w:rsidRPr="00911F09">
        <w:rPr>
          <w:rFonts w:cs="Times New Roman"/>
          <w:lang w:val="en-US"/>
        </w:rPr>
        <w:t>, 2011, 2019; WILLIAMS; RANA; DWIVEDI, 2015)</w:t>
      </w:r>
      <w:r w:rsidRPr="00145B0C">
        <w:rPr>
          <w:rFonts w:cs="Times New Roman"/>
        </w:rPr>
        <w:fldChar w:fldCharType="end"/>
      </w:r>
      <w:r w:rsidRPr="00911F09">
        <w:rPr>
          <w:rFonts w:cs="Times New Roman"/>
          <w:lang w:val="en-US"/>
        </w:rPr>
        <w:t xml:space="preserve">. No primero </w:t>
      </w:r>
      <w:r w:rsidRPr="00145B0C">
        <w:rPr>
          <w:rFonts w:cs="Times New Roman"/>
        </w:rPr>
        <w:fldChar w:fldCharType="begin" w:fldLock="1"/>
      </w:r>
      <w:r w:rsidRPr="00911F09">
        <w:rPr>
          <w:rFonts w:cs="Times New Roman"/>
          <w:lang w:val="en-US"/>
        </w:rPr>
        <w:instrText>ADDIN CSL_CITATION {"citationItems":[{"id":"ITEM-1","itemData":{"DOI":"10.1007/978-3-642-24148-2_10","abstract":"The originating article of the Unified Theory of Acceptance and Use of Technology (UTAUT) has been cited by a large number of studies. However, a detailed examination of such citations revealed that only small proportion (43 articles) of these citations actually utilized the theory or its constructs in their empirical research for examining IS/IT related issues. In order to examine whether the theory is performing consistently well across various studies, this research aims to undertake a statistical meta-analysis of findings reported in 43 publis</w:instrText>
      </w:r>
      <w:r w:rsidRPr="009C540D">
        <w:rPr>
          <w:rFonts w:cs="Times New Roman"/>
          <w:lang w:val="en-US"/>
        </w:rPr>
        <w:instrText>hed studies that have actually utilized UTAUT or its constructs in their empirical research. Findings reveal the underperformance of theory in subsequent studies in comparison to the performance of UTAUT reported in the originating article. The limitations experienced while conducting the meta-analysis, recommendations, and the future scope for the further research in this area have also been briefly explained in concluding section.","author":[{"dropping-particle":"","family":"Dwivedi","given":"Yogesh K","non-dropping-particle":"","parse-names":false,"suffix":""},{"dropping-particle":"","family":"Rana","given":"Nripendra P","non-dropping-particle":"","parse-names":false,"suffix":""},{"dropping-particle":"","family":"Chen","given":"Hsin","non-dropping-particle":"","parse-names":false,"suffix":""},{"dropping-particle":"","family":"Williams","given":"Michael D","non-dropping-particle":"","parse-names":false,"suffix":""}],"id":"ITEM-1","issued":{"date-parts":[["2011"]]},"page":"155-170","title":"A Meta-analysis of the Unified Theory of Acceptance and Use of Technology (UTAUT)","type":"chapter"},"uris":["http://www.mendeley.com/documents/?uuid=90a8629c-d22d-3e33-bdb5-84638e2e1466"]}],"mendeley":{"formattedCitation":"(DWIVEDI et al., 2011)","plainTextFormattedCitation":"(DWIVEDI et al., 2011)","previouslyFormattedCitation":"(DWIVEDI et al., 2011)"},"properties":{"noteIndex":0},"schema":"https://github.com/citation-style-language/schema/raw/master/csl-citation.json"}</w:instrText>
      </w:r>
      <w:r w:rsidRPr="00145B0C">
        <w:rPr>
          <w:rFonts w:cs="Times New Roman"/>
        </w:rPr>
        <w:fldChar w:fldCharType="separate"/>
      </w:r>
      <w:r w:rsidRPr="009C540D">
        <w:rPr>
          <w:rFonts w:cs="Times New Roman"/>
          <w:lang w:val="en-US"/>
        </w:rPr>
        <w:t>(DWIVEDI et al., 2011)</w:t>
      </w:r>
      <w:r w:rsidRPr="00145B0C">
        <w:rPr>
          <w:rFonts w:cs="Times New Roman"/>
        </w:rPr>
        <w:fldChar w:fldCharType="end"/>
      </w:r>
      <w:r w:rsidRPr="009C540D">
        <w:rPr>
          <w:rFonts w:cs="Times New Roman"/>
          <w:lang w:val="en-US"/>
        </w:rPr>
        <w:t xml:space="preserve">, </w:t>
      </w:r>
      <w:proofErr w:type="spellStart"/>
      <w:r w:rsidRPr="009C540D">
        <w:rPr>
          <w:rFonts w:cs="Times New Roman"/>
          <w:lang w:val="en-US"/>
        </w:rPr>
        <w:t>são</w:t>
      </w:r>
      <w:proofErr w:type="spellEnd"/>
      <w:r w:rsidRPr="009C540D">
        <w:rPr>
          <w:rFonts w:cs="Times New Roman"/>
          <w:lang w:val="en-US"/>
        </w:rPr>
        <w:t xml:space="preserve"> </w:t>
      </w:r>
      <w:proofErr w:type="spellStart"/>
      <w:r w:rsidRPr="009C540D">
        <w:rPr>
          <w:rFonts w:cs="Times New Roman"/>
          <w:lang w:val="en-US"/>
        </w:rPr>
        <w:t>analisados</w:t>
      </w:r>
      <w:proofErr w:type="spellEnd"/>
      <w:r w:rsidRPr="009C540D">
        <w:rPr>
          <w:rFonts w:cs="Times New Roman"/>
          <w:lang w:val="en-US"/>
        </w:rPr>
        <w:t xml:space="preserve"> 43 </w:t>
      </w:r>
      <w:proofErr w:type="spellStart"/>
      <w:r w:rsidRPr="009C540D">
        <w:rPr>
          <w:rFonts w:cs="Times New Roman"/>
          <w:lang w:val="en-US"/>
        </w:rPr>
        <w:t>artigos</w:t>
      </w:r>
      <w:proofErr w:type="spellEnd"/>
      <w:r w:rsidRPr="009C540D">
        <w:rPr>
          <w:rFonts w:cs="Times New Roman"/>
          <w:lang w:val="en-US"/>
        </w:rPr>
        <w:t xml:space="preserve"> </w:t>
      </w:r>
      <w:proofErr w:type="spellStart"/>
      <w:r w:rsidRPr="009C540D">
        <w:rPr>
          <w:rFonts w:cs="Times New Roman"/>
          <w:lang w:val="en-US"/>
        </w:rPr>
        <w:t>aos</w:t>
      </w:r>
      <w:proofErr w:type="spellEnd"/>
      <w:r w:rsidRPr="009C540D">
        <w:rPr>
          <w:rFonts w:cs="Times New Roman"/>
          <w:lang w:val="en-US"/>
        </w:rPr>
        <w:t xml:space="preserve"> </w:t>
      </w:r>
      <w:proofErr w:type="spellStart"/>
      <w:r w:rsidRPr="009C540D">
        <w:rPr>
          <w:rFonts w:cs="Times New Roman"/>
          <w:lang w:val="en-US"/>
        </w:rPr>
        <w:t>quais</w:t>
      </w:r>
      <w:proofErr w:type="spellEnd"/>
      <w:r w:rsidRPr="009C540D">
        <w:rPr>
          <w:rFonts w:cs="Times New Roman"/>
          <w:lang w:val="en-US"/>
        </w:rPr>
        <w:t xml:space="preserve"> </w:t>
      </w:r>
      <w:proofErr w:type="spellStart"/>
      <w:r w:rsidRPr="009C540D">
        <w:rPr>
          <w:rFonts w:cs="Times New Roman"/>
          <w:lang w:val="en-US"/>
        </w:rPr>
        <w:t>não</w:t>
      </w:r>
      <w:proofErr w:type="spellEnd"/>
      <w:r w:rsidRPr="009C540D">
        <w:rPr>
          <w:rFonts w:cs="Times New Roman"/>
          <w:lang w:val="en-US"/>
        </w:rPr>
        <w:t xml:space="preserve"> </w:t>
      </w:r>
      <w:proofErr w:type="spellStart"/>
      <w:r w:rsidRPr="009C540D">
        <w:rPr>
          <w:rFonts w:cs="Times New Roman"/>
          <w:lang w:val="en-US"/>
        </w:rPr>
        <w:t>há</w:t>
      </w:r>
      <w:proofErr w:type="spellEnd"/>
      <w:r w:rsidRPr="009C540D">
        <w:rPr>
          <w:rFonts w:cs="Times New Roman"/>
          <w:lang w:val="en-US"/>
        </w:rPr>
        <w:t xml:space="preserve"> </w:t>
      </w:r>
      <w:proofErr w:type="spellStart"/>
      <w:r w:rsidRPr="009C540D">
        <w:rPr>
          <w:rFonts w:cs="Times New Roman"/>
          <w:lang w:val="en-US"/>
        </w:rPr>
        <w:t>nenhum</w:t>
      </w:r>
      <w:proofErr w:type="spellEnd"/>
      <w:r w:rsidRPr="009C540D">
        <w:rPr>
          <w:rFonts w:cs="Times New Roman"/>
          <w:lang w:val="en-US"/>
        </w:rPr>
        <w:t xml:space="preserve"> </w:t>
      </w:r>
      <w:proofErr w:type="spellStart"/>
      <w:r w:rsidRPr="009C540D">
        <w:rPr>
          <w:rFonts w:cs="Times New Roman"/>
          <w:lang w:val="en-US"/>
        </w:rPr>
        <w:t>trabalho</w:t>
      </w:r>
      <w:proofErr w:type="spellEnd"/>
      <w:r w:rsidRPr="009C540D">
        <w:rPr>
          <w:rFonts w:cs="Times New Roman"/>
          <w:lang w:val="en-US"/>
        </w:rPr>
        <w:t xml:space="preserve"> </w:t>
      </w:r>
      <w:proofErr w:type="spellStart"/>
      <w:r w:rsidRPr="009C540D">
        <w:rPr>
          <w:rFonts w:cs="Times New Roman"/>
          <w:lang w:val="en-US"/>
        </w:rPr>
        <w:t>sobre</w:t>
      </w:r>
      <w:proofErr w:type="spellEnd"/>
      <w:r w:rsidRPr="009C540D">
        <w:rPr>
          <w:rFonts w:cs="Times New Roman"/>
          <w:lang w:val="en-US"/>
        </w:rPr>
        <w:t xml:space="preserve"> ERPs. </w:t>
      </w:r>
      <w:r w:rsidRPr="00F429FC">
        <w:rPr>
          <w:rFonts w:cs="Times New Roman"/>
          <w:lang w:val="en-US"/>
        </w:rPr>
        <w:t xml:space="preserve">No </w:t>
      </w:r>
      <w:proofErr w:type="spellStart"/>
      <w:r w:rsidRPr="00F429FC">
        <w:rPr>
          <w:rFonts w:cs="Times New Roman"/>
          <w:lang w:val="en-US"/>
        </w:rPr>
        <w:t>segundo</w:t>
      </w:r>
      <w:proofErr w:type="spellEnd"/>
      <w:r w:rsidRPr="00F429FC">
        <w:rPr>
          <w:rFonts w:cs="Times New Roman"/>
          <w:lang w:val="en-US"/>
        </w:rPr>
        <w:t xml:space="preserve"> </w:t>
      </w:r>
      <w:r w:rsidRPr="00145B0C">
        <w:rPr>
          <w:rFonts w:cs="Times New Roman"/>
        </w:rPr>
        <w:fldChar w:fldCharType="begin" w:fldLock="1"/>
      </w:r>
      <w:r w:rsidRPr="00F429FC">
        <w:rPr>
          <w:rFonts w:cs="Times New Roman"/>
          <w:lang w:val="en-US"/>
        </w:rPr>
        <w:instrText xml:space="preserve">ADDIN CSL_CITATION {"citationItems":[{"id":"ITEM-1","itemData":{"DOI":"10.21512/tw.v13i2.656","ISSN":"2541-2388","abstract":"This study reviews the most recent literature on UTAUT (Unified Theory of Acceptance, and Use of Technology) and UTAUT 2(Unified Theory of Acceptance, and Use of Technology) 2 by focusing on the findings and recommended future research. The papers, proceedings and dissertations included in the analysis were identified technology acceptance as the focus of their studies. This search was supplemented various websites which host scientific journals such as Emerald, Science Direct and Google Scholar. The initial search produced 65 papers. The studies examined works which employed UTAUT and UTAUT 2 by focusing on findings on the core constructs of UTAUT to predict Behavioral Intentions. The results confirmed </w:instrText>
      </w:r>
      <w:r w:rsidRPr="00F429FC">
        <w:rPr>
          <w:rFonts w:cs="Times New Roman"/>
        </w:rPr>
        <w:instrText>previous studies that the four constructs of UTAUT contributed to Behavioral Intention even though PE seemed to be the most significant contributors. Findings also suggest UTAUT 2 has been more explanatory and list the suggestions for future works. The immediate implications are for researchers who wish to examine behavioral intentions, and managers who wish to ensure the acceptance and use of a new system or technology. This study bears a number of limitations. Number of papers examined is one of them. It would be more accurate to increase the number of paper examined. The other limitation is the ability to draw a statistical conclusion each</w:instrText>
      </w:r>
      <w:r w:rsidRPr="00145B0C">
        <w:rPr>
          <w:rFonts w:cs="Times New Roman"/>
        </w:rPr>
        <w:instrText xml:space="preserve"> research examined. This is due to a great variety of research topics, methods, constructs and contexts.","author":[{"dropping-particle":"","family":"Chang","given":"Andreas","non-dropping-particle":"","parse-names":false,"suffix":""}],"container-title":"The Winners","id":"ITEM-1","issue":"2","issued":{"date-parts":[["2012","9","28"]]},"page":"10","publisher":"Universitas Bina Nusantara","title":"UTAUT and UTAUT 2: A Review and Agenda for Future Research","type":"article-journal","volume":"13"},"uris":["http://www.mendeley.com/documents/?uuid=62fefeda-7a7b-3d7c-9048-c9686043ae42"]}],"mendeley":{"formattedCitation":"(CHANG, 2012)","plainTextFormattedCitation":"(CHANG, 2012)","previouslyFormattedCitation":"(CHANG, 2012)"},"properties":{"noteIndex":0},"schema":"https://github.com/citation-style-language/schema/raw/master/csl-citation.json"}</w:instrText>
      </w:r>
      <w:r w:rsidRPr="00145B0C">
        <w:rPr>
          <w:rFonts w:cs="Times New Roman"/>
        </w:rPr>
        <w:fldChar w:fldCharType="separate"/>
      </w:r>
      <w:r w:rsidRPr="00145B0C">
        <w:rPr>
          <w:rFonts w:cs="Times New Roman"/>
        </w:rPr>
        <w:t>(CHANG, 2012)</w:t>
      </w:r>
      <w:r w:rsidRPr="00145B0C">
        <w:rPr>
          <w:rFonts w:cs="Times New Roman"/>
        </w:rPr>
        <w:fldChar w:fldCharType="end"/>
      </w:r>
      <w:r>
        <w:rPr>
          <w:rFonts w:cs="Times New Roman"/>
        </w:rPr>
        <w:t>,</w:t>
      </w:r>
      <w:r w:rsidRPr="00145B0C">
        <w:rPr>
          <w:rFonts w:cs="Times New Roman"/>
        </w:rPr>
        <w:t xml:space="preserve"> somente há menção para um artigo. Nos terceiro </w:t>
      </w:r>
      <w:r w:rsidRPr="00145B0C">
        <w:rPr>
          <w:rFonts w:cs="Times New Roman"/>
        </w:rPr>
        <w:fldChar w:fldCharType="begin" w:fldLock="1"/>
      </w:r>
      <w:r w:rsidRPr="00145B0C">
        <w:rPr>
          <w:rFonts w:cs="Times New Roman"/>
        </w:rPr>
        <w:instrText>ADDIN CSL_CITATION {"citationItems":[{"id":"ITEM-1","itemData":{"DOI":"10.1108/JEIM-09-2014-0088","ISSN":"1741-0398","abstract":"Purpose-The purpose of this paper is to perform a systematic review of articles that have used the unified theory of acceptance and use of technology (UTAUT). Design/methodology/approach-The results produced in this research are based on the literature analysis of 174 existing articles on the UTAUT model. This has been performed by collecting data including demographic details, methodological details, limitations, and significance of relationships between the constructs from the available articles based on the UTAUT. Findings-The findings indicated that general purpose systems and specialized business systems were examined in the majority of the articles using the UTAUT. The analysis also indicated that cross-sectional approach, survey methods, and structural equation modelling analysis techniques were the most explored research methodologies whereas SPSS was found to be the largely used analysis tools. Moreover, the weight analysis of independent variables indicates that variables such as performance expectancy and behavioural intention qualified for the best predictor category. Moreover, the analysis also suggested that single subject or biased sample as the most explored limitation across all studies. Research limitations/implications-The search activities were centered on occurrences of keywords to avoid tracing a large number of publications where these keywords might have been used as casual words in the main text. However, we acknowledge that there may be a number of studies, which lack keywords in the title, but still focus upon UTAUT in some form. Originality/value-This is the first research of its type which has extensively examined the literature on the UTAUT and provided the researchers with the accumulative knowledge about the model.","author":[{"dropping-particle":"","family":"Williams","given":"Michael D","non-dropping-particle":"","parse-names":false,"suffix":""},{"dropping-particle":"","family":"Rana","given":"Nripendra P","non-dropping-particle":"","parse-names":false,"suffix":""},{"dropping-particle":"","family":"Dwivedi","given":"Yogesh K","non-dropping-particle":"","parse-names":false,"suffix":""}],"container-title":"Journal of Enterprise Information Management","id":"ITEM-1","issue":"3","issued":{"date-parts":[["2015","4","13"]]},"page":"443-488","title":"The unified theory of acceptance and use of technology (UTAUT): a literature review","type":"article-journal","volume":"28"},"uris":["http://www.mendeley.com/documents/?uuid=d14053a0-ce08-3bac-9a96-959c50f18485"]}],"mendeley":{"formattedCitation":"(WILLIAMS; RANA; DWIVEDI, 2015)","plainTextFormattedCitation":"(WILLIAMS; RANA; DWIVEDI, 2015)","previouslyFormattedCitation":"(WILLIAMS; RANA; DWIVEDI, 2015)"},"properties":{"noteIndex":0},"schema":"https://github.com/citation-style-language/schema/raw/master/csl-citation.json"}</w:instrText>
      </w:r>
      <w:r w:rsidRPr="00145B0C">
        <w:rPr>
          <w:rFonts w:cs="Times New Roman"/>
        </w:rPr>
        <w:fldChar w:fldCharType="separate"/>
      </w:r>
      <w:r w:rsidRPr="00145B0C">
        <w:rPr>
          <w:rFonts w:cs="Times New Roman"/>
        </w:rPr>
        <w:t>(WILLIAMS; RANA; DWIVEDI, 2015)</w:t>
      </w:r>
      <w:r w:rsidRPr="00145B0C">
        <w:rPr>
          <w:rFonts w:cs="Times New Roman"/>
        </w:rPr>
        <w:fldChar w:fldCharType="end"/>
      </w:r>
      <w:r w:rsidRPr="00145B0C">
        <w:rPr>
          <w:rFonts w:cs="Times New Roman"/>
        </w:rPr>
        <w:t xml:space="preserve"> e quarto </w:t>
      </w:r>
      <w:r w:rsidRPr="00145B0C">
        <w:rPr>
          <w:rFonts w:cs="Times New Roman"/>
        </w:rPr>
        <w:fldChar w:fldCharType="begin" w:fldLock="1"/>
      </w:r>
      <w:r w:rsidRPr="00145B0C">
        <w:rPr>
          <w:rFonts w:cs="Times New Roman"/>
        </w:rPr>
        <w:instrText>ADDIN CSL_CITATION {"citationItems":[{"id":"ITEM-1","itemData":{"DOI":"10.1007/s10796-017-9774-y","ISSN":"1387-3326","abstract":"Based on a critical review of the Unified Theory of Acceptance and Use of Technology (UTAUT), this study first formalized an alternative theoretical model for explaining the acceptance and use of information system (IS) and information technology (IT) innovations. The revised theoretical model was then empirically examined using a combination of meta-analysis and structural equation modelling (MASEM) techniques. The meta-analysis was based on 1600 observations on 21 relationships coded from 162 prior studies on IS/ IT acceptance and use. The SEM analysis showed that attitude: was central to behavioural intentions and usage behaviours , partially mediated the effects of exogenous constructs on behavioural intentions, and had a direct influence on usage behaviours. A number of implications for theory and practice are derived based on the findings.","author":[{"dropping-particle":"","family":"Dwivedi","given":"Yogesh K","non-dropping-particle":"","parse-names":false,"suffix":""},{"dropping-particle":"","family":"Rana","given":"Nripendra P","non-dropping-particle":"","parse-names":false,"suffix":""},{"dropping-particle":"","family":"Jeyaraj","given":"Anand","non-dropping-particle":"","parse-names":false,"suffix":""},{"dropping-particle":"","family":"Clement","given":"Marc","non-dropping-particle":"","parse-names":false,"suffix":""},{"dropping-particle":"","family":"Williams","given":"Michael D","non-dropping-particle":"","parse-names":false,"suffix":""}],"container-title":"Information Systems Frontiers","id":"ITEM-1","issue":"3","issued":{"date-parts":[["2019","6","8"]]},"page":"719-734","title":"Re-examining the Unified Theory of Acceptance and Use of Technology (UTAUT): Towards a Revised Theoretical Model","type":"article-journal","volume":"21"},"uris":["http://www.mendeley.com/documents/?uuid=bb5e7780-ec0c-3d48-855b-92fa43491cb5"]}],"mendeley":{"formattedCitation":"(DWIVEDI et al., 2019)","plainTextFormattedCitation":"(DWIVEDI et al., 2019)","previouslyFormattedCitation":"(DWIVEDI et al., 2019)"},"properties":{"noteIndex":0},"schema":"https://github.com/citation-style-language/schema/raw/master/csl-citation.json"}</w:instrText>
      </w:r>
      <w:r w:rsidRPr="00145B0C">
        <w:rPr>
          <w:rFonts w:cs="Times New Roman"/>
        </w:rPr>
        <w:fldChar w:fldCharType="separate"/>
      </w:r>
      <w:r w:rsidRPr="00145B0C">
        <w:rPr>
          <w:rFonts w:cs="Times New Roman"/>
        </w:rPr>
        <w:t xml:space="preserve">(DWIVEDI </w:t>
      </w:r>
      <w:r>
        <w:rPr>
          <w:rFonts w:cs="Times New Roman"/>
        </w:rPr>
        <w:t>et al.</w:t>
      </w:r>
      <w:r w:rsidRPr="00145B0C">
        <w:rPr>
          <w:rFonts w:cs="Times New Roman"/>
        </w:rPr>
        <w:t>, 2019)</w:t>
      </w:r>
      <w:r w:rsidRPr="00145B0C">
        <w:rPr>
          <w:rFonts w:cs="Times New Roman"/>
        </w:rPr>
        <w:fldChar w:fldCharType="end"/>
      </w:r>
      <w:r>
        <w:rPr>
          <w:rFonts w:cs="Times New Roman"/>
        </w:rPr>
        <w:t>,</w:t>
      </w:r>
      <w:r w:rsidRPr="00145B0C">
        <w:rPr>
          <w:rFonts w:cs="Times New Roman"/>
        </w:rPr>
        <w:t xml:space="preserve"> há menções para duas publicações que tratam simultaneamente do UTAUT e </w:t>
      </w:r>
      <w:proofErr w:type="spellStart"/>
      <w:r w:rsidRPr="00145B0C">
        <w:rPr>
          <w:rFonts w:cs="Times New Roman"/>
        </w:rPr>
        <w:t>ERPs</w:t>
      </w:r>
      <w:proofErr w:type="spellEnd"/>
      <w:r w:rsidRPr="00145B0C">
        <w:rPr>
          <w:rFonts w:cs="Times New Roman"/>
        </w:rPr>
        <w:t>, em cada artigo de revisão.</w:t>
      </w:r>
    </w:p>
    <w:p w14:paraId="417E6CCA" w14:textId="77777777" w:rsidR="00BC7604" w:rsidRDefault="00BC7604" w:rsidP="00BC7604">
      <w:pPr>
        <w:spacing w:after="0" w:line="360" w:lineRule="auto"/>
        <w:ind w:firstLine="708"/>
        <w:jc w:val="both"/>
        <w:rPr>
          <w:rFonts w:cs="Times New Roman"/>
        </w:rPr>
      </w:pPr>
    </w:p>
    <w:p w14:paraId="2A2057DA" w14:textId="77777777" w:rsidR="00BC7604" w:rsidRDefault="00BC7604" w:rsidP="00BC7604">
      <w:pPr>
        <w:spacing w:after="0" w:line="360" w:lineRule="auto"/>
        <w:ind w:firstLine="708"/>
        <w:jc w:val="both"/>
        <w:rPr>
          <w:rFonts w:cs="Times New Roman"/>
        </w:rPr>
      </w:pPr>
    </w:p>
    <w:p w14:paraId="35D71133" w14:textId="77777777" w:rsidR="00BC7604" w:rsidRDefault="00BC7604" w:rsidP="00BC7604">
      <w:pPr>
        <w:spacing w:after="0" w:line="360" w:lineRule="auto"/>
        <w:ind w:firstLine="708"/>
        <w:jc w:val="both"/>
        <w:rPr>
          <w:rFonts w:cs="Times New Roman"/>
        </w:rPr>
      </w:pPr>
    </w:p>
    <w:p w14:paraId="16BBA48D" w14:textId="77777777" w:rsidR="00BC7604" w:rsidRPr="00C27487" w:rsidRDefault="00BC7604" w:rsidP="00BC7604">
      <w:pPr>
        <w:spacing w:after="0" w:line="360" w:lineRule="auto"/>
        <w:ind w:firstLine="708"/>
        <w:jc w:val="both"/>
        <w:rPr>
          <w:rFonts w:cs="Times New Roman"/>
        </w:rPr>
      </w:pPr>
    </w:p>
    <w:p w14:paraId="37A47297" w14:textId="77777777" w:rsidR="00BC7604" w:rsidRPr="00C27487" w:rsidRDefault="00BC7604" w:rsidP="00BC7604">
      <w:pPr>
        <w:spacing w:after="80" w:line="360" w:lineRule="auto"/>
        <w:rPr>
          <w:rFonts w:cs="Times New Roman"/>
          <w:b/>
        </w:rPr>
      </w:pPr>
      <w:r w:rsidRPr="00C27487">
        <w:rPr>
          <w:rFonts w:cs="Times New Roman"/>
          <w:b/>
        </w:rPr>
        <w:lastRenderedPageBreak/>
        <w:t>3 METODOLOGIA</w:t>
      </w:r>
    </w:p>
    <w:p w14:paraId="3ACCDBA1" w14:textId="77777777" w:rsidR="00BC7604" w:rsidRPr="00C27487" w:rsidRDefault="00BC7604" w:rsidP="00BC7604">
      <w:pPr>
        <w:spacing w:after="0" w:line="360" w:lineRule="auto"/>
        <w:ind w:firstLine="709"/>
        <w:jc w:val="both"/>
        <w:rPr>
          <w:rFonts w:cs="Times New Roman"/>
        </w:rPr>
      </w:pPr>
      <w:r w:rsidRPr="00C27487">
        <w:rPr>
          <w:rFonts w:cs="Times New Roman"/>
        </w:rPr>
        <w:t xml:space="preserve">Esta pesquisa parte de uma filosofia pós-positivista, com abordagem dedutiva, onde é utilizada uma teoria e uma estratégia para testar as hipóteses (SAUNDERS, 2012). O método é o quantitativo, através da estratégia de levantamento. Quanto ao horizonte temporal da pesquisa, optou-se por um corte transversal. </w:t>
      </w:r>
      <w:r>
        <w:rPr>
          <w:rFonts w:cs="Times New Roman"/>
        </w:rPr>
        <w:t>A técnica</w:t>
      </w:r>
      <w:r w:rsidRPr="00C27487">
        <w:rPr>
          <w:rFonts w:cs="Times New Roman"/>
        </w:rPr>
        <w:t xml:space="preserve"> adotad</w:t>
      </w:r>
      <w:r>
        <w:rPr>
          <w:rFonts w:cs="Times New Roman"/>
        </w:rPr>
        <w:t>a</w:t>
      </w:r>
      <w:r w:rsidRPr="00C27487">
        <w:rPr>
          <w:rFonts w:cs="Times New Roman"/>
        </w:rPr>
        <w:t xml:space="preserve"> </w:t>
      </w:r>
      <w:r>
        <w:rPr>
          <w:rFonts w:cs="Times New Roman"/>
        </w:rPr>
        <w:t>é Regressão Múltipla</w:t>
      </w:r>
      <w:r w:rsidRPr="00CC75E7">
        <w:rPr>
          <w:rFonts w:cs="Times New Roman"/>
          <w:iCs/>
        </w:rPr>
        <w:t>.</w:t>
      </w:r>
      <w:r w:rsidRPr="00C27487">
        <w:rPr>
          <w:rFonts w:cs="Times New Roman"/>
        </w:rPr>
        <w:t xml:space="preserve"> </w:t>
      </w:r>
      <w:r>
        <w:rPr>
          <w:rFonts w:cs="Times New Roman"/>
          <w:szCs w:val="24"/>
        </w:rPr>
        <w:t>São utilizadas</w:t>
      </w:r>
      <w:r w:rsidRPr="00C27487">
        <w:rPr>
          <w:rFonts w:cs="Times New Roman"/>
          <w:szCs w:val="24"/>
        </w:rPr>
        <w:t xml:space="preserve"> as etapas descritas por </w:t>
      </w:r>
      <w:proofErr w:type="spellStart"/>
      <w:r w:rsidRPr="00C27487">
        <w:rPr>
          <w:rFonts w:cs="Times New Roman"/>
          <w:szCs w:val="24"/>
        </w:rPr>
        <w:t>Hair</w:t>
      </w:r>
      <w:proofErr w:type="spellEnd"/>
      <w:r w:rsidRPr="00C27487">
        <w:rPr>
          <w:rFonts w:cs="Times New Roman"/>
          <w:szCs w:val="24"/>
        </w:rPr>
        <w:t xml:space="preserve"> </w:t>
      </w:r>
      <w:r w:rsidRPr="00634674">
        <w:rPr>
          <w:rFonts w:cs="Times New Roman"/>
          <w:i/>
          <w:szCs w:val="24"/>
        </w:rPr>
        <w:t>et al</w:t>
      </w:r>
      <w:r>
        <w:rPr>
          <w:rFonts w:cs="Times New Roman"/>
          <w:szCs w:val="24"/>
        </w:rPr>
        <w:t xml:space="preserve">. </w:t>
      </w:r>
      <w:r w:rsidRPr="00C27487">
        <w:rPr>
          <w:rFonts w:cs="Times New Roman"/>
          <w:szCs w:val="24"/>
        </w:rPr>
        <w:t>(2014)</w:t>
      </w:r>
      <w:r>
        <w:rPr>
          <w:rFonts w:cs="Times New Roman"/>
          <w:szCs w:val="24"/>
        </w:rPr>
        <w:t xml:space="preserve"> para</w:t>
      </w:r>
      <w:r w:rsidRPr="00C27487">
        <w:rPr>
          <w:rFonts w:cs="Times New Roman"/>
          <w:szCs w:val="24"/>
        </w:rPr>
        <w:t xml:space="preserve"> verificar a adequação e validade do modelo </w:t>
      </w:r>
      <w:r>
        <w:rPr>
          <w:rFonts w:cs="Times New Roman"/>
          <w:szCs w:val="24"/>
        </w:rPr>
        <w:t xml:space="preserve">no contexto </w:t>
      </w:r>
      <w:r w:rsidRPr="00C27487">
        <w:rPr>
          <w:rFonts w:cs="Times New Roman"/>
          <w:szCs w:val="24"/>
        </w:rPr>
        <w:t>proposto.</w:t>
      </w:r>
    </w:p>
    <w:p w14:paraId="601281FC" w14:textId="77777777" w:rsidR="00BC7604" w:rsidRPr="00C27487" w:rsidRDefault="00BC7604" w:rsidP="00BC7604">
      <w:pPr>
        <w:spacing w:after="0" w:line="360" w:lineRule="auto"/>
        <w:ind w:firstLine="708"/>
        <w:jc w:val="both"/>
        <w:rPr>
          <w:rFonts w:cs="Times New Roman"/>
          <w:noProof/>
        </w:rPr>
      </w:pPr>
      <w:r>
        <w:rPr>
          <w:rFonts w:cs="Times New Roman"/>
        </w:rPr>
        <w:t xml:space="preserve">Os indicadores utilizados para verificar os parâmetros do modelo de regressão são: </w:t>
      </w:r>
      <w:proofErr w:type="spellStart"/>
      <w:r>
        <w:rPr>
          <w:rFonts w:cs="Times New Roman"/>
        </w:rPr>
        <w:t>Coenficientes</w:t>
      </w:r>
      <w:proofErr w:type="spellEnd"/>
      <w:r>
        <w:rPr>
          <w:rFonts w:cs="Times New Roman"/>
        </w:rPr>
        <w:t xml:space="preserve"> de cada variável, Teste Anova, Teste F, </w:t>
      </w:r>
      <w:r w:rsidRPr="00C27487">
        <w:rPr>
          <w:rFonts w:cs="Times New Roman"/>
        </w:rPr>
        <w:t xml:space="preserve">significância estatística </w:t>
      </w:r>
      <w:r>
        <w:rPr>
          <w:rFonts w:cs="Times New Roman"/>
        </w:rPr>
        <w:t xml:space="preserve">(p-valor&lt;0,05) </w:t>
      </w:r>
      <w:r w:rsidRPr="00C27487">
        <w:rPr>
          <w:rFonts w:cs="Times New Roman"/>
        </w:rPr>
        <w:t xml:space="preserve">e </w:t>
      </w:r>
      <w:proofErr w:type="spellStart"/>
      <w:r w:rsidRPr="00C27487">
        <w:rPr>
          <w:rFonts w:cs="Times New Roman"/>
        </w:rPr>
        <w:t>VIF</w:t>
      </w:r>
      <w:r>
        <w:rPr>
          <w:rFonts w:cs="Times New Roman"/>
        </w:rPr>
        <w:t>s</w:t>
      </w:r>
      <w:proofErr w:type="spellEnd"/>
      <w:r>
        <w:rPr>
          <w:rFonts w:cs="Times New Roman"/>
        </w:rPr>
        <w:t xml:space="preserve"> (Fator Inflacionário da Variância) que apontassem baixa </w:t>
      </w:r>
      <w:proofErr w:type="spellStart"/>
      <w:r>
        <w:rPr>
          <w:rFonts w:cs="Times New Roman"/>
        </w:rPr>
        <w:t>multicolinearidade</w:t>
      </w:r>
      <w:proofErr w:type="spellEnd"/>
      <w:r>
        <w:rPr>
          <w:rFonts w:cs="Times New Roman"/>
        </w:rPr>
        <w:t xml:space="preserve"> </w:t>
      </w:r>
      <w:r w:rsidRPr="00C27487">
        <w:rPr>
          <w:rFonts w:cs="Times New Roman"/>
        </w:rPr>
        <w:t xml:space="preserve">(HAIR </w:t>
      </w:r>
      <w:r>
        <w:rPr>
          <w:rFonts w:cs="Times New Roman"/>
        </w:rPr>
        <w:t>et al.</w:t>
      </w:r>
      <w:r w:rsidRPr="00C27487">
        <w:rPr>
          <w:rFonts w:cs="Times New Roman"/>
        </w:rPr>
        <w:t>,</w:t>
      </w:r>
      <w:r>
        <w:rPr>
          <w:rFonts w:cs="Times New Roman"/>
        </w:rPr>
        <w:t xml:space="preserve"> </w:t>
      </w:r>
      <w:r w:rsidRPr="00C27487">
        <w:rPr>
          <w:rFonts w:cs="Times New Roman"/>
        </w:rPr>
        <w:t>2014).</w:t>
      </w:r>
      <w:r>
        <w:rPr>
          <w:rFonts w:cs="Times New Roman"/>
        </w:rPr>
        <w:t xml:space="preserve"> Foram utilizados os dados um </w:t>
      </w:r>
      <w:r w:rsidRPr="00253F3B">
        <w:rPr>
          <w:rFonts w:cs="Times New Roman"/>
          <w:i/>
          <w:iCs/>
        </w:rPr>
        <w:t>dashboard</w:t>
      </w:r>
      <w:r>
        <w:rPr>
          <w:rFonts w:cs="Times New Roman"/>
        </w:rPr>
        <w:t xml:space="preserve"> gerados na implantação de um ERP </w:t>
      </w:r>
      <w:r w:rsidRPr="00C27487">
        <w:rPr>
          <w:rFonts w:cs="Times New Roman"/>
        </w:rPr>
        <w:t>d</w:t>
      </w:r>
      <w:r>
        <w:rPr>
          <w:rFonts w:cs="Times New Roman"/>
        </w:rPr>
        <w:t>e uma</w:t>
      </w:r>
      <w:r w:rsidRPr="00C27487">
        <w:rPr>
          <w:rFonts w:cs="Times New Roman"/>
        </w:rPr>
        <w:t xml:space="preserve"> empresa </w:t>
      </w:r>
      <w:r>
        <w:rPr>
          <w:rFonts w:cs="Times New Roman"/>
        </w:rPr>
        <w:t xml:space="preserve">de </w:t>
      </w:r>
      <w:r w:rsidRPr="00C27487">
        <w:rPr>
          <w:rFonts w:cs="Times New Roman"/>
        </w:rPr>
        <w:t>grande porte em Porto Velho-RO</w:t>
      </w:r>
      <w:r>
        <w:rPr>
          <w:rFonts w:cs="Times New Roman"/>
        </w:rPr>
        <w:t xml:space="preserve">. </w:t>
      </w:r>
    </w:p>
    <w:p w14:paraId="411179DD" w14:textId="77777777" w:rsidR="00BC7604" w:rsidRPr="00C27487" w:rsidRDefault="00BC7604" w:rsidP="00BC7604">
      <w:pPr>
        <w:spacing w:after="0" w:line="360" w:lineRule="auto"/>
        <w:ind w:firstLine="708"/>
        <w:jc w:val="both"/>
        <w:rPr>
          <w:rFonts w:cs="Times New Roman"/>
        </w:rPr>
      </w:pPr>
    </w:p>
    <w:p w14:paraId="567CDA8A" w14:textId="77777777" w:rsidR="00BC7604" w:rsidRPr="00830326" w:rsidRDefault="00BC7604" w:rsidP="00BC7604">
      <w:pPr>
        <w:spacing w:after="80" w:line="360" w:lineRule="auto"/>
        <w:rPr>
          <w:rFonts w:cs="Times New Roman"/>
          <w:b/>
        </w:rPr>
      </w:pPr>
      <w:r w:rsidRPr="00830326">
        <w:rPr>
          <w:rFonts w:cs="Times New Roman"/>
          <w:b/>
        </w:rPr>
        <w:t>4 ANÁLISE</w:t>
      </w:r>
      <w:r>
        <w:rPr>
          <w:rFonts w:cs="Times New Roman"/>
          <w:b/>
        </w:rPr>
        <w:t xml:space="preserve"> E DISCUSSÃO</w:t>
      </w:r>
      <w:r w:rsidRPr="00830326">
        <w:rPr>
          <w:rFonts w:cs="Times New Roman"/>
          <w:b/>
        </w:rPr>
        <w:t xml:space="preserve"> DOS RESULTADOS</w:t>
      </w:r>
    </w:p>
    <w:p w14:paraId="0ED8D65F" w14:textId="77777777" w:rsidR="00BC7604" w:rsidRPr="00A03927" w:rsidRDefault="00BC7604" w:rsidP="00BC7604">
      <w:pPr>
        <w:spacing w:after="0" w:line="360" w:lineRule="auto"/>
        <w:rPr>
          <w:rFonts w:cs="Times New Roman"/>
          <w:szCs w:val="24"/>
        </w:rPr>
      </w:pPr>
      <w:r>
        <w:rPr>
          <w:rFonts w:cs="Times New Roman"/>
          <w:sz w:val="20"/>
          <w:szCs w:val="20"/>
        </w:rPr>
        <w:tab/>
      </w:r>
      <w:r w:rsidRPr="0051142D">
        <w:rPr>
          <w:rFonts w:cs="Times New Roman"/>
          <w:szCs w:val="24"/>
        </w:rPr>
        <w:t>A seguir são expostos os resultados encontrados nesta pesquisa. A figura 1 demonstra o diagr</w:t>
      </w:r>
      <w:r w:rsidRPr="00A03927">
        <w:rPr>
          <w:rFonts w:cs="Times New Roman"/>
          <w:szCs w:val="24"/>
        </w:rPr>
        <w:t>ama onde as variáveis preditoras são relacionadas com o uso do ERP.</w:t>
      </w:r>
    </w:p>
    <w:p w14:paraId="2FA4C61E" w14:textId="77777777" w:rsidR="00BC7604" w:rsidRPr="00A03927" w:rsidRDefault="00BC7604" w:rsidP="00BC7604">
      <w:pPr>
        <w:spacing w:after="0" w:line="360" w:lineRule="auto"/>
        <w:ind w:firstLine="708"/>
        <w:jc w:val="both"/>
        <w:rPr>
          <w:rFonts w:cs="Times New Roman"/>
        </w:rPr>
      </w:pPr>
    </w:p>
    <w:p w14:paraId="5F512AF0" w14:textId="77777777" w:rsidR="00BC7604" w:rsidRPr="00B80F31" w:rsidRDefault="00BC7604" w:rsidP="00BC7604">
      <w:pPr>
        <w:spacing w:after="0" w:line="360" w:lineRule="auto"/>
        <w:jc w:val="center"/>
        <w:rPr>
          <w:rFonts w:cs="Times New Roman"/>
        </w:rPr>
      </w:pPr>
      <w:r w:rsidRPr="00A03927">
        <w:rPr>
          <w:rFonts w:cs="Times New Roman"/>
          <w:noProof/>
        </w:rPr>
        <w:t>Figura 1 — Modelo Final da Pesquisa.</w:t>
      </w:r>
    </w:p>
    <w:p w14:paraId="47E92250" w14:textId="77777777" w:rsidR="00BC7604" w:rsidRDefault="00BC7604" w:rsidP="00BC7604">
      <w:pPr>
        <w:spacing w:after="0" w:line="360" w:lineRule="auto"/>
        <w:jc w:val="center"/>
        <w:rPr>
          <w:rFonts w:cs="Times New Roman"/>
          <w:sz w:val="20"/>
        </w:rPr>
      </w:pPr>
      <w:r w:rsidRPr="00887418">
        <w:rPr>
          <w:rFonts w:cs="Times New Roman"/>
          <w:noProof/>
          <w:sz w:val="20"/>
        </w:rPr>
        <w:drawing>
          <wp:inline distT="0" distB="0" distL="0" distR="0" wp14:anchorId="2EF65B6F" wp14:editId="3C1E8518">
            <wp:extent cx="3996235" cy="3867150"/>
            <wp:effectExtent l="0" t="0" r="4445" b="0"/>
            <wp:docPr id="1978077955" name="Imagem 1" descr="Uma imagem contendo Form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8077955" name="Imagem 1" descr="Uma imagem contendo Forma&#10;&#10;Descrição gerada automaticamente"/>
                    <pic:cNvPicPr/>
                  </pic:nvPicPr>
                  <pic:blipFill>
                    <a:blip r:embed="rId6"/>
                    <a:stretch>
                      <a:fillRect/>
                    </a:stretch>
                  </pic:blipFill>
                  <pic:spPr>
                    <a:xfrm>
                      <a:off x="0" y="0"/>
                      <a:ext cx="4014192" cy="3884527"/>
                    </a:xfrm>
                    <a:prstGeom prst="rect">
                      <a:avLst/>
                    </a:prstGeom>
                  </pic:spPr>
                </pic:pic>
              </a:graphicData>
            </a:graphic>
          </wp:inline>
        </w:drawing>
      </w:r>
    </w:p>
    <w:p w14:paraId="55D62AD5" w14:textId="77777777" w:rsidR="00BC7604" w:rsidRDefault="00BC7604" w:rsidP="00BC7604">
      <w:pPr>
        <w:spacing w:after="0" w:line="360" w:lineRule="auto"/>
        <w:jc w:val="both"/>
        <w:rPr>
          <w:rFonts w:eastAsia="Times New Roman" w:cs="Times New Roman"/>
          <w:sz w:val="20"/>
          <w:szCs w:val="20"/>
        </w:rPr>
      </w:pPr>
      <w:r>
        <w:rPr>
          <w:rFonts w:eastAsia="Times New Roman" w:cs="Times New Roman"/>
          <w:sz w:val="20"/>
          <w:szCs w:val="20"/>
        </w:rPr>
        <w:lastRenderedPageBreak/>
        <w:t xml:space="preserve">       </w:t>
      </w:r>
      <w:r w:rsidRPr="00627457">
        <w:rPr>
          <w:rFonts w:eastAsia="Times New Roman" w:cs="Times New Roman"/>
          <w:sz w:val="20"/>
          <w:szCs w:val="20"/>
        </w:rPr>
        <w:t>Fonte: Autor (202</w:t>
      </w:r>
      <w:r>
        <w:rPr>
          <w:rFonts w:eastAsia="Times New Roman" w:cs="Times New Roman"/>
          <w:sz w:val="20"/>
          <w:szCs w:val="20"/>
        </w:rPr>
        <w:t>4</w:t>
      </w:r>
      <w:r w:rsidRPr="00627457">
        <w:rPr>
          <w:rFonts w:eastAsia="Times New Roman" w:cs="Times New Roman"/>
          <w:sz w:val="20"/>
          <w:szCs w:val="20"/>
        </w:rPr>
        <w:t>).</w:t>
      </w:r>
    </w:p>
    <w:p w14:paraId="14360A11" w14:textId="04161406" w:rsidR="00BC7604" w:rsidRPr="001F64F1" w:rsidRDefault="00BC7604" w:rsidP="00BC7604">
      <w:pPr>
        <w:spacing w:after="0" w:line="360" w:lineRule="auto"/>
        <w:ind w:firstLine="708"/>
        <w:jc w:val="both"/>
        <w:rPr>
          <w:rFonts w:eastAsia="Times New Roman" w:cs="Times New Roman"/>
          <w:szCs w:val="24"/>
        </w:rPr>
      </w:pPr>
      <w:r w:rsidRPr="00B453A5">
        <w:rPr>
          <w:rFonts w:eastAsia="Times New Roman" w:cs="Times New Roman"/>
          <w:szCs w:val="24"/>
        </w:rPr>
        <w:t xml:space="preserve">A </w:t>
      </w:r>
      <w:r w:rsidR="00634674">
        <w:rPr>
          <w:rFonts w:eastAsia="Times New Roman" w:cs="Times New Roman"/>
          <w:szCs w:val="24"/>
        </w:rPr>
        <w:t>T</w:t>
      </w:r>
      <w:r>
        <w:rPr>
          <w:rFonts w:eastAsia="Times New Roman" w:cs="Times New Roman"/>
          <w:szCs w:val="24"/>
        </w:rPr>
        <w:t xml:space="preserve">abela </w:t>
      </w:r>
      <w:r w:rsidRPr="00B453A5">
        <w:rPr>
          <w:rFonts w:eastAsia="Times New Roman" w:cs="Times New Roman"/>
          <w:szCs w:val="24"/>
        </w:rPr>
        <w:t>2 apresenta os parâmetros estatísticos de regressão.</w:t>
      </w:r>
    </w:p>
    <w:p w14:paraId="782CFC19" w14:textId="77777777" w:rsidR="00BC7604" w:rsidRDefault="00BC7604" w:rsidP="00BC7604">
      <w:pPr>
        <w:spacing w:after="0" w:line="360" w:lineRule="auto"/>
        <w:jc w:val="center"/>
        <w:rPr>
          <w:rFonts w:cs="Times New Roman"/>
        </w:rPr>
      </w:pPr>
      <w:r w:rsidRPr="001F64F1">
        <w:rPr>
          <w:rFonts w:cs="Times New Roman"/>
        </w:rPr>
        <w:t xml:space="preserve">Tabela 2 </w:t>
      </w:r>
      <w:r w:rsidRPr="001F64F1">
        <w:rPr>
          <w:rFonts w:cs="Times New Roman"/>
          <w:noProof/>
        </w:rPr>
        <w:t>—</w:t>
      </w:r>
      <w:r w:rsidRPr="001F64F1">
        <w:rPr>
          <w:rFonts w:cs="Times New Roman"/>
        </w:rPr>
        <w:t xml:space="preserve"> Parâmetros da Regress</w:t>
      </w:r>
      <w:r w:rsidRPr="00A03927">
        <w:rPr>
          <w:rFonts w:cs="Times New Roman"/>
        </w:rPr>
        <w:t>ão.</w:t>
      </w:r>
    </w:p>
    <w:tbl>
      <w:tblPr>
        <w:tblW w:w="8340" w:type="dxa"/>
        <w:tblLook w:val="04A0" w:firstRow="1" w:lastRow="0" w:firstColumn="1" w:lastColumn="0" w:noHBand="0" w:noVBand="1"/>
      </w:tblPr>
      <w:tblGrid>
        <w:gridCol w:w="2260"/>
        <w:gridCol w:w="2600"/>
        <w:gridCol w:w="520"/>
        <w:gridCol w:w="1300"/>
        <w:gridCol w:w="766"/>
        <w:gridCol w:w="960"/>
      </w:tblGrid>
      <w:tr w:rsidR="00BC7604" w:rsidRPr="00153AAC" w14:paraId="109E4375" w14:textId="77777777" w:rsidTr="00575DCB">
        <w:trPr>
          <w:trHeight w:val="300"/>
        </w:trPr>
        <w:tc>
          <w:tcPr>
            <w:tcW w:w="2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D047AF" w14:textId="77777777" w:rsidR="00BC7604" w:rsidRPr="00153AAC" w:rsidRDefault="00BC7604" w:rsidP="00575DCB">
            <w:pPr>
              <w:spacing w:after="0" w:line="240" w:lineRule="auto"/>
              <w:rPr>
                <w:rFonts w:eastAsia="Times New Roman" w:cs="Times New Roman"/>
                <w:b/>
                <w:bCs/>
                <w:color w:val="000000"/>
                <w:sz w:val="20"/>
                <w:szCs w:val="20"/>
                <w:lang w:val="en-US"/>
              </w:rPr>
            </w:pPr>
            <w:proofErr w:type="spellStart"/>
            <w:r w:rsidRPr="00153AAC">
              <w:rPr>
                <w:rFonts w:eastAsia="Times New Roman" w:cs="Times New Roman"/>
                <w:b/>
                <w:bCs/>
                <w:color w:val="000000"/>
                <w:sz w:val="20"/>
                <w:szCs w:val="20"/>
                <w:lang w:val="en-US"/>
              </w:rPr>
              <w:t>Parâmetro</w:t>
            </w:r>
            <w:proofErr w:type="spellEnd"/>
          </w:p>
        </w:tc>
        <w:tc>
          <w:tcPr>
            <w:tcW w:w="2600" w:type="dxa"/>
            <w:tcBorders>
              <w:top w:val="single" w:sz="4" w:space="0" w:color="auto"/>
              <w:left w:val="nil"/>
              <w:bottom w:val="single" w:sz="4" w:space="0" w:color="auto"/>
              <w:right w:val="single" w:sz="4" w:space="0" w:color="auto"/>
            </w:tcBorders>
            <w:shd w:val="clear" w:color="auto" w:fill="auto"/>
            <w:noWrap/>
            <w:vAlign w:val="bottom"/>
            <w:hideMark/>
          </w:tcPr>
          <w:p w14:paraId="015B077A" w14:textId="77777777" w:rsidR="00BC7604" w:rsidRPr="00153AAC" w:rsidRDefault="00BC7604" w:rsidP="00575DCB">
            <w:pPr>
              <w:spacing w:after="0" w:line="240" w:lineRule="auto"/>
              <w:rPr>
                <w:rFonts w:eastAsia="Times New Roman" w:cs="Times New Roman"/>
                <w:b/>
                <w:bCs/>
                <w:color w:val="000000"/>
                <w:sz w:val="20"/>
                <w:szCs w:val="20"/>
                <w:lang w:val="en-US"/>
              </w:rPr>
            </w:pPr>
            <w:r w:rsidRPr="00153AAC">
              <w:rPr>
                <w:rFonts w:eastAsia="Times New Roman" w:cs="Times New Roman"/>
                <w:b/>
                <w:bCs/>
                <w:color w:val="000000"/>
                <w:sz w:val="20"/>
                <w:szCs w:val="20"/>
                <w:lang w:val="en-US"/>
              </w:rPr>
              <w:t xml:space="preserve">Soma dos </w:t>
            </w:r>
            <w:proofErr w:type="spellStart"/>
            <w:r w:rsidRPr="00153AAC">
              <w:rPr>
                <w:rFonts w:eastAsia="Times New Roman" w:cs="Times New Roman"/>
                <w:b/>
                <w:bCs/>
                <w:color w:val="000000"/>
                <w:sz w:val="20"/>
                <w:szCs w:val="20"/>
                <w:lang w:val="en-US"/>
              </w:rPr>
              <w:t>quadrados</w:t>
            </w:r>
            <w:proofErr w:type="spellEnd"/>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14:paraId="1C3A9363" w14:textId="77777777" w:rsidR="00BC7604" w:rsidRPr="00153AAC" w:rsidRDefault="00BC7604" w:rsidP="00575DCB">
            <w:pPr>
              <w:spacing w:after="0" w:line="240" w:lineRule="auto"/>
              <w:rPr>
                <w:rFonts w:eastAsia="Times New Roman" w:cs="Times New Roman"/>
                <w:b/>
                <w:bCs/>
                <w:color w:val="000000"/>
                <w:sz w:val="20"/>
                <w:szCs w:val="20"/>
                <w:lang w:val="en-US"/>
              </w:rPr>
            </w:pPr>
            <w:r w:rsidRPr="00153AAC">
              <w:rPr>
                <w:rFonts w:eastAsia="Times New Roman" w:cs="Times New Roman"/>
                <w:b/>
                <w:bCs/>
                <w:color w:val="000000"/>
                <w:sz w:val="20"/>
                <w:szCs w:val="20"/>
                <w:lang w:val="en-US"/>
              </w:rPr>
              <w:t>df</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14:paraId="0E34FC0F" w14:textId="77777777" w:rsidR="00BC7604" w:rsidRPr="00153AAC" w:rsidRDefault="00BC7604" w:rsidP="00575DCB">
            <w:pPr>
              <w:spacing w:after="0" w:line="240" w:lineRule="auto"/>
              <w:rPr>
                <w:rFonts w:eastAsia="Times New Roman" w:cs="Times New Roman"/>
                <w:b/>
                <w:bCs/>
                <w:color w:val="000000"/>
                <w:sz w:val="20"/>
                <w:szCs w:val="20"/>
                <w:lang w:val="en-US"/>
              </w:rPr>
            </w:pPr>
            <w:r w:rsidRPr="00153AAC">
              <w:rPr>
                <w:rFonts w:eastAsia="Times New Roman" w:cs="Times New Roman"/>
                <w:b/>
                <w:bCs/>
                <w:color w:val="000000"/>
                <w:sz w:val="20"/>
                <w:szCs w:val="20"/>
                <w:lang w:val="en-US"/>
              </w:rPr>
              <w:t>Mean</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14:paraId="21B6882E" w14:textId="77777777" w:rsidR="00BC7604" w:rsidRPr="00153AAC" w:rsidRDefault="00BC7604" w:rsidP="00575DCB">
            <w:pPr>
              <w:spacing w:after="0" w:line="240" w:lineRule="auto"/>
              <w:rPr>
                <w:rFonts w:eastAsia="Times New Roman" w:cs="Times New Roman"/>
                <w:b/>
                <w:bCs/>
                <w:color w:val="000000"/>
                <w:sz w:val="20"/>
                <w:szCs w:val="20"/>
                <w:lang w:val="en-US"/>
              </w:rPr>
            </w:pPr>
            <w:r w:rsidRPr="00153AAC">
              <w:rPr>
                <w:rFonts w:eastAsia="Times New Roman" w:cs="Times New Roman"/>
                <w:b/>
                <w:bCs/>
                <w:color w:val="000000"/>
                <w:sz w:val="20"/>
                <w:szCs w:val="20"/>
                <w:lang w:val="en-US"/>
              </w:rPr>
              <w:t>F</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72931BCC" w14:textId="77777777" w:rsidR="00BC7604" w:rsidRPr="00153AAC" w:rsidRDefault="00BC7604" w:rsidP="00575DCB">
            <w:pPr>
              <w:spacing w:after="0" w:line="240" w:lineRule="auto"/>
              <w:rPr>
                <w:rFonts w:eastAsia="Times New Roman" w:cs="Times New Roman"/>
                <w:b/>
                <w:bCs/>
                <w:color w:val="000000"/>
                <w:sz w:val="20"/>
                <w:szCs w:val="20"/>
                <w:lang w:val="en-US"/>
              </w:rPr>
            </w:pPr>
            <w:r w:rsidRPr="00153AAC">
              <w:rPr>
                <w:rFonts w:eastAsia="Times New Roman" w:cs="Times New Roman"/>
                <w:b/>
                <w:bCs/>
                <w:color w:val="000000"/>
                <w:sz w:val="20"/>
                <w:szCs w:val="20"/>
                <w:lang w:val="en-US"/>
              </w:rPr>
              <w:t>P value</w:t>
            </w:r>
          </w:p>
        </w:tc>
      </w:tr>
      <w:tr w:rsidR="00BC7604" w:rsidRPr="00153AAC" w14:paraId="2FAE4B58" w14:textId="77777777" w:rsidTr="00575DCB">
        <w:trPr>
          <w:trHeight w:val="300"/>
        </w:trPr>
        <w:tc>
          <w:tcPr>
            <w:tcW w:w="2260" w:type="dxa"/>
            <w:tcBorders>
              <w:top w:val="nil"/>
              <w:left w:val="single" w:sz="4" w:space="0" w:color="auto"/>
              <w:bottom w:val="single" w:sz="4" w:space="0" w:color="auto"/>
              <w:right w:val="single" w:sz="4" w:space="0" w:color="auto"/>
            </w:tcBorders>
            <w:shd w:val="clear" w:color="auto" w:fill="auto"/>
            <w:noWrap/>
            <w:vAlign w:val="bottom"/>
            <w:hideMark/>
          </w:tcPr>
          <w:p w14:paraId="228E8F63" w14:textId="77777777" w:rsidR="00BC7604" w:rsidRPr="00153AAC" w:rsidRDefault="00BC7604" w:rsidP="00575DCB">
            <w:pPr>
              <w:spacing w:after="0" w:line="240" w:lineRule="auto"/>
              <w:rPr>
                <w:rFonts w:eastAsia="Times New Roman" w:cs="Times New Roman"/>
                <w:color w:val="000000"/>
                <w:sz w:val="20"/>
                <w:szCs w:val="20"/>
                <w:lang w:val="en-US"/>
              </w:rPr>
            </w:pPr>
            <w:r w:rsidRPr="00153AAC">
              <w:rPr>
                <w:rFonts w:eastAsia="Times New Roman" w:cs="Times New Roman"/>
                <w:color w:val="000000"/>
                <w:sz w:val="20"/>
                <w:szCs w:val="20"/>
                <w:lang w:val="en-US"/>
              </w:rPr>
              <w:t>Total</w:t>
            </w:r>
          </w:p>
        </w:tc>
        <w:tc>
          <w:tcPr>
            <w:tcW w:w="2600" w:type="dxa"/>
            <w:tcBorders>
              <w:top w:val="nil"/>
              <w:left w:val="nil"/>
              <w:bottom w:val="single" w:sz="4" w:space="0" w:color="auto"/>
              <w:right w:val="single" w:sz="4" w:space="0" w:color="auto"/>
            </w:tcBorders>
            <w:shd w:val="clear" w:color="auto" w:fill="auto"/>
            <w:noWrap/>
            <w:vAlign w:val="bottom"/>
            <w:hideMark/>
          </w:tcPr>
          <w:p w14:paraId="521F7F10" w14:textId="77777777" w:rsidR="00BC7604" w:rsidRPr="00153AAC" w:rsidRDefault="00BC7604" w:rsidP="00575DCB">
            <w:pPr>
              <w:spacing w:after="0" w:line="240" w:lineRule="auto"/>
              <w:jc w:val="right"/>
              <w:rPr>
                <w:rFonts w:eastAsia="Times New Roman" w:cs="Times New Roman"/>
                <w:color w:val="000000"/>
                <w:sz w:val="20"/>
                <w:szCs w:val="20"/>
                <w:lang w:val="en-US"/>
              </w:rPr>
            </w:pPr>
            <w:r w:rsidRPr="00153AAC">
              <w:rPr>
                <w:rFonts w:eastAsia="Times New Roman" w:cs="Times New Roman"/>
                <w:color w:val="000000"/>
                <w:sz w:val="20"/>
                <w:szCs w:val="20"/>
                <w:lang w:val="en-US"/>
              </w:rPr>
              <w:t>329.983</w:t>
            </w:r>
          </w:p>
        </w:tc>
        <w:tc>
          <w:tcPr>
            <w:tcW w:w="520" w:type="dxa"/>
            <w:tcBorders>
              <w:top w:val="nil"/>
              <w:left w:val="nil"/>
              <w:bottom w:val="single" w:sz="4" w:space="0" w:color="auto"/>
              <w:right w:val="single" w:sz="4" w:space="0" w:color="auto"/>
            </w:tcBorders>
            <w:shd w:val="clear" w:color="auto" w:fill="auto"/>
            <w:noWrap/>
            <w:vAlign w:val="bottom"/>
            <w:hideMark/>
          </w:tcPr>
          <w:p w14:paraId="1D5A6833" w14:textId="77777777" w:rsidR="00BC7604" w:rsidRPr="00153AAC" w:rsidRDefault="00BC7604" w:rsidP="00575DCB">
            <w:pPr>
              <w:spacing w:after="0" w:line="240" w:lineRule="auto"/>
              <w:jc w:val="right"/>
              <w:rPr>
                <w:rFonts w:eastAsia="Times New Roman" w:cs="Times New Roman"/>
                <w:color w:val="000000"/>
                <w:sz w:val="20"/>
                <w:szCs w:val="20"/>
                <w:lang w:val="en-US"/>
              </w:rPr>
            </w:pPr>
            <w:r w:rsidRPr="00153AAC">
              <w:rPr>
                <w:rFonts w:eastAsia="Times New Roman" w:cs="Times New Roman"/>
                <w:color w:val="000000"/>
                <w:sz w:val="20"/>
                <w:szCs w:val="20"/>
                <w:lang w:val="en-US"/>
              </w:rPr>
              <w:t>236</w:t>
            </w:r>
          </w:p>
        </w:tc>
        <w:tc>
          <w:tcPr>
            <w:tcW w:w="1300" w:type="dxa"/>
            <w:tcBorders>
              <w:top w:val="nil"/>
              <w:left w:val="nil"/>
              <w:bottom w:val="single" w:sz="4" w:space="0" w:color="auto"/>
              <w:right w:val="single" w:sz="4" w:space="0" w:color="auto"/>
            </w:tcBorders>
            <w:shd w:val="clear" w:color="auto" w:fill="auto"/>
            <w:noWrap/>
            <w:vAlign w:val="bottom"/>
            <w:hideMark/>
          </w:tcPr>
          <w:p w14:paraId="305C28C5" w14:textId="77777777" w:rsidR="00BC7604" w:rsidRPr="00153AAC" w:rsidRDefault="00BC7604" w:rsidP="00575DCB">
            <w:pPr>
              <w:spacing w:after="0" w:line="240" w:lineRule="auto"/>
              <w:rPr>
                <w:rFonts w:eastAsia="Times New Roman" w:cs="Times New Roman"/>
                <w:color w:val="000000"/>
                <w:sz w:val="20"/>
                <w:szCs w:val="20"/>
                <w:lang w:val="en-US"/>
              </w:rPr>
            </w:pPr>
            <w:r w:rsidRPr="00153AAC">
              <w:rPr>
                <w:rFonts w:eastAsia="Times New Roman" w:cs="Times New Roman"/>
                <w:color w:val="000000"/>
                <w:sz w:val="20"/>
                <w:szCs w:val="20"/>
                <w:lang w:val="en-US"/>
              </w:rPr>
              <w:t>0.000</w:t>
            </w:r>
          </w:p>
        </w:tc>
        <w:tc>
          <w:tcPr>
            <w:tcW w:w="700" w:type="dxa"/>
            <w:tcBorders>
              <w:top w:val="nil"/>
              <w:left w:val="nil"/>
              <w:bottom w:val="single" w:sz="4" w:space="0" w:color="auto"/>
              <w:right w:val="single" w:sz="4" w:space="0" w:color="auto"/>
            </w:tcBorders>
            <w:shd w:val="clear" w:color="auto" w:fill="auto"/>
            <w:noWrap/>
            <w:vAlign w:val="bottom"/>
            <w:hideMark/>
          </w:tcPr>
          <w:p w14:paraId="5A94E8E7" w14:textId="77777777" w:rsidR="00BC7604" w:rsidRPr="00153AAC" w:rsidRDefault="00BC7604" w:rsidP="00575DCB">
            <w:pPr>
              <w:spacing w:after="0" w:line="240" w:lineRule="auto"/>
              <w:rPr>
                <w:rFonts w:eastAsia="Times New Roman" w:cs="Times New Roman"/>
                <w:color w:val="000000"/>
                <w:sz w:val="20"/>
                <w:szCs w:val="20"/>
                <w:lang w:val="en-US"/>
              </w:rPr>
            </w:pPr>
            <w:r w:rsidRPr="00153AAC">
              <w:rPr>
                <w:rFonts w:eastAsia="Times New Roman" w:cs="Times New Roman"/>
                <w:color w:val="000000"/>
                <w:sz w:val="20"/>
                <w:szCs w:val="20"/>
                <w:lang w:val="en-US"/>
              </w:rPr>
              <w:t>0.000</w:t>
            </w:r>
          </w:p>
        </w:tc>
        <w:tc>
          <w:tcPr>
            <w:tcW w:w="960" w:type="dxa"/>
            <w:tcBorders>
              <w:top w:val="nil"/>
              <w:left w:val="nil"/>
              <w:bottom w:val="single" w:sz="4" w:space="0" w:color="auto"/>
              <w:right w:val="single" w:sz="4" w:space="0" w:color="auto"/>
            </w:tcBorders>
            <w:shd w:val="clear" w:color="auto" w:fill="auto"/>
            <w:noWrap/>
            <w:vAlign w:val="bottom"/>
            <w:hideMark/>
          </w:tcPr>
          <w:p w14:paraId="1DB7CFDE" w14:textId="77777777" w:rsidR="00BC7604" w:rsidRPr="00153AAC" w:rsidRDefault="00BC7604" w:rsidP="00575DCB">
            <w:pPr>
              <w:spacing w:after="0" w:line="240" w:lineRule="auto"/>
              <w:rPr>
                <w:rFonts w:eastAsia="Times New Roman" w:cs="Times New Roman"/>
                <w:color w:val="000000"/>
                <w:sz w:val="20"/>
                <w:szCs w:val="20"/>
                <w:lang w:val="en-US"/>
              </w:rPr>
            </w:pPr>
            <w:r w:rsidRPr="00153AAC">
              <w:rPr>
                <w:rFonts w:eastAsia="Times New Roman" w:cs="Times New Roman"/>
                <w:color w:val="000000"/>
                <w:sz w:val="20"/>
                <w:szCs w:val="20"/>
                <w:lang w:val="en-US"/>
              </w:rPr>
              <w:t>0.000</w:t>
            </w:r>
          </w:p>
        </w:tc>
      </w:tr>
      <w:tr w:rsidR="00BC7604" w:rsidRPr="00153AAC" w14:paraId="352375DB" w14:textId="77777777" w:rsidTr="00575DCB">
        <w:trPr>
          <w:trHeight w:val="300"/>
        </w:trPr>
        <w:tc>
          <w:tcPr>
            <w:tcW w:w="2260" w:type="dxa"/>
            <w:tcBorders>
              <w:top w:val="nil"/>
              <w:left w:val="single" w:sz="4" w:space="0" w:color="auto"/>
              <w:bottom w:val="single" w:sz="4" w:space="0" w:color="auto"/>
              <w:right w:val="single" w:sz="4" w:space="0" w:color="auto"/>
            </w:tcBorders>
            <w:shd w:val="clear" w:color="auto" w:fill="auto"/>
            <w:noWrap/>
            <w:vAlign w:val="bottom"/>
            <w:hideMark/>
          </w:tcPr>
          <w:p w14:paraId="4C8D44B0" w14:textId="77777777" w:rsidR="00BC7604" w:rsidRPr="00153AAC" w:rsidRDefault="00BC7604" w:rsidP="00575DCB">
            <w:pPr>
              <w:spacing w:after="0" w:line="240" w:lineRule="auto"/>
              <w:rPr>
                <w:rFonts w:eastAsia="Times New Roman" w:cs="Times New Roman"/>
                <w:color w:val="000000"/>
                <w:sz w:val="20"/>
                <w:szCs w:val="20"/>
                <w:lang w:val="en-US"/>
              </w:rPr>
            </w:pPr>
            <w:r w:rsidRPr="00153AAC">
              <w:rPr>
                <w:rFonts w:eastAsia="Times New Roman" w:cs="Times New Roman"/>
                <w:color w:val="000000"/>
                <w:sz w:val="20"/>
                <w:szCs w:val="20"/>
                <w:lang w:val="en-US"/>
              </w:rPr>
              <w:t>Error</w:t>
            </w:r>
          </w:p>
        </w:tc>
        <w:tc>
          <w:tcPr>
            <w:tcW w:w="2600" w:type="dxa"/>
            <w:tcBorders>
              <w:top w:val="nil"/>
              <w:left w:val="nil"/>
              <w:bottom w:val="single" w:sz="4" w:space="0" w:color="auto"/>
              <w:right w:val="single" w:sz="4" w:space="0" w:color="auto"/>
            </w:tcBorders>
            <w:shd w:val="clear" w:color="auto" w:fill="auto"/>
            <w:noWrap/>
            <w:vAlign w:val="bottom"/>
            <w:hideMark/>
          </w:tcPr>
          <w:p w14:paraId="6290E5FB" w14:textId="77777777" w:rsidR="00BC7604" w:rsidRPr="00153AAC" w:rsidRDefault="00BC7604" w:rsidP="00575DCB">
            <w:pPr>
              <w:spacing w:after="0" w:line="240" w:lineRule="auto"/>
              <w:jc w:val="right"/>
              <w:rPr>
                <w:rFonts w:eastAsia="Times New Roman" w:cs="Times New Roman"/>
                <w:color w:val="000000"/>
                <w:sz w:val="20"/>
                <w:szCs w:val="20"/>
                <w:lang w:val="en-US"/>
              </w:rPr>
            </w:pPr>
            <w:r w:rsidRPr="00153AAC">
              <w:rPr>
                <w:rFonts w:eastAsia="Times New Roman" w:cs="Times New Roman"/>
                <w:color w:val="000000"/>
                <w:sz w:val="20"/>
                <w:szCs w:val="20"/>
                <w:lang w:val="en-US"/>
              </w:rPr>
              <w:t>142.986</w:t>
            </w:r>
          </w:p>
        </w:tc>
        <w:tc>
          <w:tcPr>
            <w:tcW w:w="520" w:type="dxa"/>
            <w:tcBorders>
              <w:top w:val="nil"/>
              <w:left w:val="nil"/>
              <w:bottom w:val="single" w:sz="4" w:space="0" w:color="auto"/>
              <w:right w:val="single" w:sz="4" w:space="0" w:color="auto"/>
            </w:tcBorders>
            <w:shd w:val="clear" w:color="auto" w:fill="auto"/>
            <w:noWrap/>
            <w:vAlign w:val="bottom"/>
            <w:hideMark/>
          </w:tcPr>
          <w:p w14:paraId="6BD3CA6A" w14:textId="77777777" w:rsidR="00BC7604" w:rsidRPr="00153AAC" w:rsidRDefault="00BC7604" w:rsidP="00575DCB">
            <w:pPr>
              <w:spacing w:after="0" w:line="240" w:lineRule="auto"/>
              <w:jc w:val="right"/>
              <w:rPr>
                <w:rFonts w:eastAsia="Times New Roman" w:cs="Times New Roman"/>
                <w:color w:val="000000"/>
                <w:sz w:val="20"/>
                <w:szCs w:val="20"/>
                <w:lang w:val="en-US"/>
              </w:rPr>
            </w:pPr>
            <w:r w:rsidRPr="00153AAC">
              <w:rPr>
                <w:rFonts w:eastAsia="Times New Roman" w:cs="Times New Roman"/>
                <w:color w:val="000000"/>
                <w:sz w:val="20"/>
                <w:szCs w:val="20"/>
                <w:lang w:val="en-US"/>
              </w:rPr>
              <w:t>232</w:t>
            </w:r>
          </w:p>
        </w:tc>
        <w:tc>
          <w:tcPr>
            <w:tcW w:w="1300" w:type="dxa"/>
            <w:tcBorders>
              <w:top w:val="nil"/>
              <w:left w:val="nil"/>
              <w:bottom w:val="single" w:sz="4" w:space="0" w:color="auto"/>
              <w:right w:val="single" w:sz="4" w:space="0" w:color="auto"/>
            </w:tcBorders>
            <w:shd w:val="clear" w:color="auto" w:fill="auto"/>
            <w:noWrap/>
            <w:vAlign w:val="bottom"/>
            <w:hideMark/>
          </w:tcPr>
          <w:p w14:paraId="3709247E" w14:textId="77777777" w:rsidR="00BC7604" w:rsidRPr="00153AAC" w:rsidRDefault="00BC7604" w:rsidP="00575DCB">
            <w:pPr>
              <w:spacing w:after="0" w:line="240" w:lineRule="auto"/>
              <w:rPr>
                <w:rFonts w:eastAsia="Times New Roman" w:cs="Times New Roman"/>
                <w:color w:val="000000"/>
                <w:sz w:val="20"/>
                <w:szCs w:val="20"/>
                <w:lang w:val="en-US"/>
              </w:rPr>
            </w:pPr>
            <w:r w:rsidRPr="00153AAC">
              <w:rPr>
                <w:rFonts w:eastAsia="Times New Roman" w:cs="Times New Roman"/>
                <w:color w:val="000000"/>
                <w:sz w:val="20"/>
                <w:szCs w:val="20"/>
                <w:lang w:val="en-US"/>
              </w:rPr>
              <w:t>0.616</w:t>
            </w:r>
          </w:p>
        </w:tc>
        <w:tc>
          <w:tcPr>
            <w:tcW w:w="700" w:type="dxa"/>
            <w:tcBorders>
              <w:top w:val="nil"/>
              <w:left w:val="nil"/>
              <w:bottom w:val="single" w:sz="4" w:space="0" w:color="auto"/>
              <w:right w:val="single" w:sz="4" w:space="0" w:color="auto"/>
            </w:tcBorders>
            <w:shd w:val="clear" w:color="auto" w:fill="auto"/>
            <w:noWrap/>
            <w:vAlign w:val="bottom"/>
            <w:hideMark/>
          </w:tcPr>
          <w:p w14:paraId="74C9C379" w14:textId="77777777" w:rsidR="00BC7604" w:rsidRPr="00153AAC" w:rsidRDefault="00BC7604" w:rsidP="00575DCB">
            <w:pPr>
              <w:spacing w:after="0" w:line="240" w:lineRule="auto"/>
              <w:rPr>
                <w:rFonts w:eastAsia="Times New Roman" w:cs="Times New Roman"/>
                <w:color w:val="000000"/>
                <w:sz w:val="20"/>
                <w:szCs w:val="20"/>
                <w:lang w:val="en-US"/>
              </w:rPr>
            </w:pPr>
            <w:r w:rsidRPr="00153AAC">
              <w:rPr>
                <w:rFonts w:eastAsia="Times New Roman" w:cs="Times New Roman"/>
                <w:color w:val="000000"/>
                <w:sz w:val="20"/>
                <w:szCs w:val="20"/>
                <w:lang w:val="en-US"/>
              </w:rPr>
              <w:t>0.000</w:t>
            </w:r>
          </w:p>
        </w:tc>
        <w:tc>
          <w:tcPr>
            <w:tcW w:w="960" w:type="dxa"/>
            <w:tcBorders>
              <w:top w:val="nil"/>
              <w:left w:val="nil"/>
              <w:bottom w:val="single" w:sz="4" w:space="0" w:color="auto"/>
              <w:right w:val="single" w:sz="4" w:space="0" w:color="auto"/>
            </w:tcBorders>
            <w:shd w:val="clear" w:color="auto" w:fill="auto"/>
            <w:noWrap/>
            <w:vAlign w:val="bottom"/>
            <w:hideMark/>
          </w:tcPr>
          <w:p w14:paraId="7B5CE0A8" w14:textId="77777777" w:rsidR="00BC7604" w:rsidRPr="00153AAC" w:rsidRDefault="00BC7604" w:rsidP="00575DCB">
            <w:pPr>
              <w:spacing w:after="0" w:line="240" w:lineRule="auto"/>
              <w:rPr>
                <w:rFonts w:eastAsia="Times New Roman" w:cs="Times New Roman"/>
                <w:color w:val="000000"/>
                <w:sz w:val="20"/>
                <w:szCs w:val="20"/>
                <w:lang w:val="en-US"/>
              </w:rPr>
            </w:pPr>
            <w:r w:rsidRPr="00153AAC">
              <w:rPr>
                <w:rFonts w:eastAsia="Times New Roman" w:cs="Times New Roman"/>
                <w:color w:val="000000"/>
                <w:sz w:val="20"/>
                <w:szCs w:val="20"/>
                <w:lang w:val="en-US"/>
              </w:rPr>
              <w:t>0.000</w:t>
            </w:r>
          </w:p>
        </w:tc>
      </w:tr>
      <w:tr w:rsidR="00BC7604" w:rsidRPr="00153AAC" w14:paraId="6BB697AD" w14:textId="77777777" w:rsidTr="00575DCB">
        <w:trPr>
          <w:trHeight w:val="300"/>
        </w:trPr>
        <w:tc>
          <w:tcPr>
            <w:tcW w:w="2260" w:type="dxa"/>
            <w:tcBorders>
              <w:top w:val="nil"/>
              <w:left w:val="single" w:sz="4" w:space="0" w:color="auto"/>
              <w:bottom w:val="single" w:sz="4" w:space="0" w:color="auto"/>
              <w:right w:val="single" w:sz="4" w:space="0" w:color="auto"/>
            </w:tcBorders>
            <w:shd w:val="clear" w:color="auto" w:fill="auto"/>
            <w:noWrap/>
            <w:vAlign w:val="bottom"/>
            <w:hideMark/>
          </w:tcPr>
          <w:p w14:paraId="2C6D30E5" w14:textId="77777777" w:rsidR="00BC7604" w:rsidRPr="00153AAC" w:rsidRDefault="00BC7604" w:rsidP="00575DCB">
            <w:pPr>
              <w:spacing w:after="0" w:line="240" w:lineRule="auto"/>
              <w:rPr>
                <w:rFonts w:eastAsia="Times New Roman" w:cs="Times New Roman"/>
                <w:color w:val="000000"/>
                <w:sz w:val="20"/>
                <w:szCs w:val="20"/>
                <w:lang w:val="en-US"/>
              </w:rPr>
            </w:pPr>
            <w:r w:rsidRPr="00153AAC">
              <w:rPr>
                <w:rFonts w:eastAsia="Times New Roman" w:cs="Times New Roman"/>
                <w:color w:val="000000"/>
                <w:sz w:val="20"/>
                <w:szCs w:val="20"/>
                <w:lang w:val="en-US"/>
              </w:rPr>
              <w:t>Regression</w:t>
            </w:r>
          </w:p>
        </w:tc>
        <w:tc>
          <w:tcPr>
            <w:tcW w:w="2600" w:type="dxa"/>
            <w:tcBorders>
              <w:top w:val="nil"/>
              <w:left w:val="nil"/>
              <w:bottom w:val="single" w:sz="4" w:space="0" w:color="auto"/>
              <w:right w:val="single" w:sz="4" w:space="0" w:color="auto"/>
            </w:tcBorders>
            <w:shd w:val="clear" w:color="auto" w:fill="auto"/>
            <w:noWrap/>
            <w:vAlign w:val="bottom"/>
            <w:hideMark/>
          </w:tcPr>
          <w:p w14:paraId="73F98EF7" w14:textId="77777777" w:rsidR="00BC7604" w:rsidRPr="00153AAC" w:rsidRDefault="00BC7604" w:rsidP="00575DCB">
            <w:pPr>
              <w:spacing w:after="0" w:line="240" w:lineRule="auto"/>
              <w:jc w:val="right"/>
              <w:rPr>
                <w:rFonts w:eastAsia="Times New Roman" w:cs="Times New Roman"/>
                <w:color w:val="000000"/>
                <w:sz w:val="20"/>
                <w:szCs w:val="20"/>
                <w:lang w:val="en-US"/>
              </w:rPr>
            </w:pPr>
            <w:r w:rsidRPr="00153AAC">
              <w:rPr>
                <w:rFonts w:eastAsia="Times New Roman" w:cs="Times New Roman"/>
                <w:color w:val="000000"/>
                <w:sz w:val="20"/>
                <w:szCs w:val="20"/>
                <w:lang w:val="en-US"/>
              </w:rPr>
              <w:t>186.997</w:t>
            </w:r>
          </w:p>
        </w:tc>
        <w:tc>
          <w:tcPr>
            <w:tcW w:w="520" w:type="dxa"/>
            <w:tcBorders>
              <w:top w:val="nil"/>
              <w:left w:val="nil"/>
              <w:bottom w:val="single" w:sz="4" w:space="0" w:color="auto"/>
              <w:right w:val="single" w:sz="4" w:space="0" w:color="auto"/>
            </w:tcBorders>
            <w:shd w:val="clear" w:color="auto" w:fill="auto"/>
            <w:noWrap/>
            <w:vAlign w:val="bottom"/>
            <w:hideMark/>
          </w:tcPr>
          <w:p w14:paraId="47EE8866" w14:textId="77777777" w:rsidR="00BC7604" w:rsidRPr="00153AAC" w:rsidRDefault="00BC7604" w:rsidP="00575DCB">
            <w:pPr>
              <w:spacing w:after="0" w:line="240" w:lineRule="auto"/>
              <w:jc w:val="right"/>
              <w:rPr>
                <w:rFonts w:eastAsia="Times New Roman" w:cs="Times New Roman"/>
                <w:color w:val="000000"/>
                <w:sz w:val="20"/>
                <w:szCs w:val="20"/>
                <w:lang w:val="en-US"/>
              </w:rPr>
            </w:pPr>
            <w:r w:rsidRPr="00153AAC">
              <w:rPr>
                <w:rFonts w:eastAsia="Times New Roman" w:cs="Times New Roman"/>
                <w:color w:val="000000"/>
                <w:sz w:val="20"/>
                <w:szCs w:val="20"/>
                <w:lang w:val="en-US"/>
              </w:rPr>
              <w:t>4</w:t>
            </w:r>
          </w:p>
        </w:tc>
        <w:tc>
          <w:tcPr>
            <w:tcW w:w="1300" w:type="dxa"/>
            <w:tcBorders>
              <w:top w:val="nil"/>
              <w:left w:val="nil"/>
              <w:bottom w:val="single" w:sz="4" w:space="0" w:color="auto"/>
              <w:right w:val="single" w:sz="4" w:space="0" w:color="auto"/>
            </w:tcBorders>
            <w:shd w:val="clear" w:color="auto" w:fill="auto"/>
            <w:noWrap/>
            <w:vAlign w:val="bottom"/>
            <w:hideMark/>
          </w:tcPr>
          <w:p w14:paraId="24F395D6" w14:textId="77777777" w:rsidR="00BC7604" w:rsidRPr="00153AAC" w:rsidRDefault="00BC7604" w:rsidP="00575DCB">
            <w:pPr>
              <w:spacing w:after="0" w:line="240" w:lineRule="auto"/>
              <w:jc w:val="right"/>
              <w:rPr>
                <w:rFonts w:eastAsia="Times New Roman" w:cs="Times New Roman"/>
                <w:color w:val="000000"/>
                <w:sz w:val="20"/>
                <w:szCs w:val="20"/>
                <w:lang w:val="en-US"/>
              </w:rPr>
            </w:pPr>
            <w:r w:rsidRPr="00153AAC">
              <w:rPr>
                <w:rFonts w:eastAsia="Times New Roman" w:cs="Times New Roman"/>
                <w:color w:val="000000"/>
                <w:sz w:val="20"/>
                <w:szCs w:val="20"/>
                <w:lang w:val="en-US"/>
              </w:rPr>
              <w:t>46.749</w:t>
            </w:r>
          </w:p>
        </w:tc>
        <w:tc>
          <w:tcPr>
            <w:tcW w:w="700" w:type="dxa"/>
            <w:tcBorders>
              <w:top w:val="nil"/>
              <w:left w:val="nil"/>
              <w:bottom w:val="single" w:sz="4" w:space="0" w:color="auto"/>
              <w:right w:val="single" w:sz="4" w:space="0" w:color="auto"/>
            </w:tcBorders>
            <w:shd w:val="clear" w:color="auto" w:fill="auto"/>
            <w:noWrap/>
            <w:vAlign w:val="bottom"/>
            <w:hideMark/>
          </w:tcPr>
          <w:p w14:paraId="2FC7F1FC" w14:textId="77777777" w:rsidR="00BC7604" w:rsidRPr="00153AAC" w:rsidRDefault="00BC7604" w:rsidP="00575DCB">
            <w:pPr>
              <w:spacing w:after="0" w:line="240" w:lineRule="auto"/>
              <w:jc w:val="right"/>
              <w:rPr>
                <w:rFonts w:eastAsia="Times New Roman" w:cs="Times New Roman"/>
                <w:color w:val="000000"/>
                <w:sz w:val="20"/>
                <w:szCs w:val="20"/>
                <w:lang w:val="en-US"/>
              </w:rPr>
            </w:pPr>
            <w:r w:rsidRPr="00153AAC">
              <w:rPr>
                <w:rFonts w:eastAsia="Times New Roman" w:cs="Times New Roman"/>
                <w:color w:val="000000"/>
                <w:sz w:val="20"/>
                <w:szCs w:val="20"/>
                <w:lang w:val="en-US"/>
              </w:rPr>
              <w:t>75.852</w:t>
            </w:r>
          </w:p>
        </w:tc>
        <w:tc>
          <w:tcPr>
            <w:tcW w:w="960" w:type="dxa"/>
            <w:tcBorders>
              <w:top w:val="nil"/>
              <w:left w:val="nil"/>
              <w:bottom w:val="single" w:sz="4" w:space="0" w:color="auto"/>
              <w:right w:val="single" w:sz="4" w:space="0" w:color="auto"/>
            </w:tcBorders>
            <w:shd w:val="clear" w:color="auto" w:fill="auto"/>
            <w:noWrap/>
            <w:vAlign w:val="bottom"/>
            <w:hideMark/>
          </w:tcPr>
          <w:p w14:paraId="249B0FB7" w14:textId="77777777" w:rsidR="00BC7604" w:rsidRPr="00153AAC" w:rsidRDefault="00BC7604" w:rsidP="00575DCB">
            <w:pPr>
              <w:spacing w:after="0" w:line="240" w:lineRule="auto"/>
              <w:rPr>
                <w:rFonts w:eastAsia="Times New Roman" w:cs="Times New Roman"/>
                <w:color w:val="000000"/>
                <w:sz w:val="20"/>
                <w:szCs w:val="20"/>
                <w:lang w:val="en-US"/>
              </w:rPr>
            </w:pPr>
            <w:r w:rsidRPr="00153AAC">
              <w:rPr>
                <w:rFonts w:eastAsia="Times New Roman" w:cs="Times New Roman"/>
                <w:color w:val="000000"/>
                <w:sz w:val="20"/>
                <w:szCs w:val="20"/>
                <w:lang w:val="en-US"/>
              </w:rPr>
              <w:t>0.000</w:t>
            </w:r>
          </w:p>
        </w:tc>
      </w:tr>
      <w:tr w:rsidR="00BC7604" w:rsidRPr="00153AAC" w14:paraId="667E45DA" w14:textId="77777777" w:rsidTr="00575DCB">
        <w:trPr>
          <w:trHeight w:val="300"/>
        </w:trPr>
        <w:tc>
          <w:tcPr>
            <w:tcW w:w="2260" w:type="dxa"/>
            <w:tcBorders>
              <w:top w:val="nil"/>
              <w:left w:val="single" w:sz="4" w:space="0" w:color="auto"/>
              <w:bottom w:val="single" w:sz="4" w:space="0" w:color="auto"/>
              <w:right w:val="single" w:sz="4" w:space="0" w:color="auto"/>
            </w:tcBorders>
            <w:shd w:val="clear" w:color="auto" w:fill="auto"/>
            <w:noWrap/>
            <w:vAlign w:val="bottom"/>
            <w:hideMark/>
          </w:tcPr>
          <w:p w14:paraId="56E5AA87" w14:textId="77777777" w:rsidR="00BC7604" w:rsidRPr="00153AAC" w:rsidRDefault="00BC7604" w:rsidP="00575DCB">
            <w:pPr>
              <w:spacing w:after="0" w:line="240" w:lineRule="auto"/>
              <w:rPr>
                <w:rFonts w:eastAsia="Times New Roman" w:cs="Times New Roman"/>
                <w:color w:val="000000"/>
                <w:sz w:val="20"/>
                <w:szCs w:val="20"/>
                <w:lang w:val="en-US"/>
              </w:rPr>
            </w:pPr>
            <w:r w:rsidRPr="00153AAC">
              <w:rPr>
                <w:rFonts w:eastAsia="Times New Roman" w:cs="Times New Roman"/>
                <w:color w:val="000000"/>
                <w:sz w:val="20"/>
                <w:szCs w:val="20"/>
                <w:lang w:val="en-US"/>
              </w:rPr>
              <w:t>R²</w:t>
            </w:r>
          </w:p>
        </w:tc>
        <w:tc>
          <w:tcPr>
            <w:tcW w:w="2600" w:type="dxa"/>
            <w:tcBorders>
              <w:top w:val="nil"/>
              <w:left w:val="nil"/>
              <w:bottom w:val="single" w:sz="4" w:space="0" w:color="auto"/>
              <w:right w:val="single" w:sz="4" w:space="0" w:color="auto"/>
            </w:tcBorders>
            <w:shd w:val="clear" w:color="auto" w:fill="auto"/>
            <w:noWrap/>
            <w:vAlign w:val="bottom"/>
            <w:hideMark/>
          </w:tcPr>
          <w:p w14:paraId="43CBDF6D" w14:textId="77777777" w:rsidR="00BC7604" w:rsidRPr="00153AAC" w:rsidRDefault="00BC7604" w:rsidP="00575DCB">
            <w:pPr>
              <w:spacing w:after="0" w:line="240" w:lineRule="auto"/>
              <w:rPr>
                <w:rFonts w:eastAsia="Times New Roman" w:cs="Times New Roman"/>
                <w:color w:val="000000"/>
                <w:sz w:val="20"/>
                <w:szCs w:val="20"/>
                <w:lang w:val="en-US"/>
              </w:rPr>
            </w:pPr>
            <w:r w:rsidRPr="00153AAC">
              <w:rPr>
                <w:rFonts w:eastAsia="Times New Roman" w:cs="Times New Roman"/>
                <w:color w:val="000000"/>
                <w:sz w:val="20"/>
                <w:szCs w:val="20"/>
                <w:lang w:val="en-US"/>
              </w:rPr>
              <w:t>0.567</w:t>
            </w:r>
          </w:p>
        </w:tc>
        <w:tc>
          <w:tcPr>
            <w:tcW w:w="3480" w:type="dxa"/>
            <w:gridSpan w:val="4"/>
            <w:vMerge w:val="restart"/>
            <w:tcBorders>
              <w:top w:val="single" w:sz="4" w:space="0" w:color="auto"/>
              <w:left w:val="single" w:sz="4" w:space="0" w:color="auto"/>
              <w:bottom w:val="nil"/>
              <w:right w:val="nil"/>
            </w:tcBorders>
            <w:shd w:val="clear" w:color="auto" w:fill="auto"/>
            <w:noWrap/>
            <w:vAlign w:val="bottom"/>
            <w:hideMark/>
          </w:tcPr>
          <w:p w14:paraId="7F471F07" w14:textId="77777777" w:rsidR="00BC7604" w:rsidRPr="00153AAC" w:rsidRDefault="00BC7604" w:rsidP="00575DCB">
            <w:pPr>
              <w:spacing w:after="0" w:line="240" w:lineRule="auto"/>
              <w:jc w:val="center"/>
              <w:rPr>
                <w:rFonts w:eastAsia="Times New Roman" w:cs="Times New Roman"/>
                <w:color w:val="000000"/>
                <w:sz w:val="20"/>
                <w:szCs w:val="20"/>
                <w:lang w:val="en-US"/>
              </w:rPr>
            </w:pPr>
            <w:r w:rsidRPr="00153AAC">
              <w:rPr>
                <w:rFonts w:eastAsia="Times New Roman" w:cs="Times New Roman"/>
                <w:color w:val="000000"/>
                <w:sz w:val="20"/>
                <w:szCs w:val="20"/>
                <w:lang w:val="en-US"/>
              </w:rPr>
              <w:t> </w:t>
            </w:r>
          </w:p>
        </w:tc>
      </w:tr>
      <w:tr w:rsidR="00BC7604" w:rsidRPr="00153AAC" w14:paraId="77468633" w14:textId="77777777" w:rsidTr="00575DCB">
        <w:trPr>
          <w:trHeight w:val="300"/>
        </w:trPr>
        <w:tc>
          <w:tcPr>
            <w:tcW w:w="2260" w:type="dxa"/>
            <w:tcBorders>
              <w:top w:val="nil"/>
              <w:left w:val="single" w:sz="4" w:space="0" w:color="auto"/>
              <w:bottom w:val="single" w:sz="4" w:space="0" w:color="auto"/>
              <w:right w:val="single" w:sz="4" w:space="0" w:color="auto"/>
            </w:tcBorders>
            <w:shd w:val="clear" w:color="auto" w:fill="auto"/>
            <w:noWrap/>
            <w:vAlign w:val="bottom"/>
            <w:hideMark/>
          </w:tcPr>
          <w:p w14:paraId="154AB535" w14:textId="77777777" w:rsidR="00BC7604" w:rsidRPr="00153AAC" w:rsidRDefault="00BC7604" w:rsidP="00575DCB">
            <w:pPr>
              <w:spacing w:after="0" w:line="240" w:lineRule="auto"/>
              <w:rPr>
                <w:rFonts w:eastAsia="Times New Roman" w:cs="Times New Roman"/>
                <w:b/>
                <w:bCs/>
                <w:color w:val="000000"/>
                <w:sz w:val="20"/>
                <w:szCs w:val="20"/>
                <w:lang w:val="en-US"/>
              </w:rPr>
            </w:pPr>
            <w:r w:rsidRPr="00153AAC">
              <w:rPr>
                <w:rFonts w:eastAsia="Times New Roman" w:cs="Times New Roman"/>
                <w:b/>
                <w:bCs/>
                <w:color w:val="000000"/>
                <w:sz w:val="20"/>
                <w:szCs w:val="20"/>
                <w:lang w:val="en-US"/>
              </w:rPr>
              <w:t>Variáveis</w:t>
            </w:r>
          </w:p>
        </w:tc>
        <w:tc>
          <w:tcPr>
            <w:tcW w:w="2600" w:type="dxa"/>
            <w:tcBorders>
              <w:top w:val="nil"/>
              <w:left w:val="nil"/>
              <w:bottom w:val="single" w:sz="4" w:space="0" w:color="auto"/>
              <w:right w:val="single" w:sz="4" w:space="0" w:color="auto"/>
            </w:tcBorders>
            <w:shd w:val="clear" w:color="auto" w:fill="auto"/>
            <w:noWrap/>
            <w:vAlign w:val="bottom"/>
            <w:hideMark/>
          </w:tcPr>
          <w:p w14:paraId="6E167324" w14:textId="77777777" w:rsidR="00BC7604" w:rsidRPr="00153AAC" w:rsidRDefault="00BC7604" w:rsidP="00575DCB">
            <w:pPr>
              <w:spacing w:after="0" w:line="240" w:lineRule="auto"/>
              <w:rPr>
                <w:rFonts w:eastAsia="Times New Roman" w:cs="Times New Roman"/>
                <w:b/>
                <w:bCs/>
                <w:color w:val="000000"/>
                <w:sz w:val="20"/>
                <w:szCs w:val="20"/>
                <w:lang w:val="en-US"/>
              </w:rPr>
            </w:pPr>
            <w:r w:rsidRPr="00153AAC">
              <w:rPr>
                <w:rFonts w:eastAsia="Times New Roman" w:cs="Times New Roman"/>
                <w:b/>
                <w:bCs/>
                <w:color w:val="000000"/>
                <w:sz w:val="20"/>
                <w:szCs w:val="20"/>
                <w:lang w:val="en-US"/>
              </w:rPr>
              <w:t>VIF</w:t>
            </w:r>
          </w:p>
        </w:tc>
        <w:tc>
          <w:tcPr>
            <w:tcW w:w="3480" w:type="dxa"/>
            <w:gridSpan w:val="4"/>
            <w:vMerge/>
            <w:tcBorders>
              <w:top w:val="nil"/>
              <w:left w:val="nil"/>
              <w:bottom w:val="single" w:sz="4" w:space="0" w:color="auto"/>
              <w:right w:val="single" w:sz="4" w:space="0" w:color="auto"/>
            </w:tcBorders>
            <w:vAlign w:val="center"/>
            <w:hideMark/>
          </w:tcPr>
          <w:p w14:paraId="6E4C1174" w14:textId="77777777" w:rsidR="00BC7604" w:rsidRPr="00153AAC" w:rsidRDefault="00BC7604" w:rsidP="00575DCB">
            <w:pPr>
              <w:spacing w:after="0" w:line="240" w:lineRule="auto"/>
              <w:rPr>
                <w:rFonts w:eastAsia="Times New Roman" w:cs="Times New Roman"/>
                <w:color w:val="000000"/>
                <w:sz w:val="20"/>
                <w:szCs w:val="20"/>
                <w:lang w:val="en-US"/>
              </w:rPr>
            </w:pPr>
          </w:p>
        </w:tc>
      </w:tr>
      <w:tr w:rsidR="00BC7604" w:rsidRPr="00153AAC" w14:paraId="0487D49F" w14:textId="77777777" w:rsidTr="00575DCB">
        <w:trPr>
          <w:trHeight w:val="300"/>
        </w:trPr>
        <w:tc>
          <w:tcPr>
            <w:tcW w:w="2260" w:type="dxa"/>
            <w:tcBorders>
              <w:top w:val="nil"/>
              <w:left w:val="single" w:sz="4" w:space="0" w:color="auto"/>
              <w:bottom w:val="single" w:sz="4" w:space="0" w:color="auto"/>
              <w:right w:val="single" w:sz="4" w:space="0" w:color="auto"/>
            </w:tcBorders>
            <w:shd w:val="clear" w:color="auto" w:fill="auto"/>
            <w:noWrap/>
            <w:vAlign w:val="bottom"/>
            <w:hideMark/>
          </w:tcPr>
          <w:p w14:paraId="6797447E" w14:textId="77777777" w:rsidR="00BC7604" w:rsidRPr="00153AAC" w:rsidRDefault="00BC7604" w:rsidP="00575DCB">
            <w:pPr>
              <w:spacing w:after="0" w:line="240" w:lineRule="auto"/>
              <w:rPr>
                <w:rFonts w:eastAsia="Times New Roman" w:cs="Times New Roman"/>
                <w:color w:val="000000"/>
                <w:sz w:val="20"/>
                <w:szCs w:val="20"/>
                <w:lang w:val="en-US"/>
              </w:rPr>
            </w:pPr>
            <w:r w:rsidRPr="00153AAC">
              <w:rPr>
                <w:rFonts w:eastAsia="Times New Roman" w:cs="Times New Roman"/>
                <w:color w:val="000000"/>
                <w:sz w:val="20"/>
                <w:szCs w:val="20"/>
                <w:lang w:val="en-US"/>
              </w:rPr>
              <w:t>Uso do ERP</w:t>
            </w:r>
          </w:p>
        </w:tc>
        <w:tc>
          <w:tcPr>
            <w:tcW w:w="2600" w:type="dxa"/>
            <w:tcBorders>
              <w:top w:val="nil"/>
              <w:left w:val="nil"/>
              <w:bottom w:val="single" w:sz="4" w:space="0" w:color="auto"/>
              <w:right w:val="single" w:sz="4" w:space="0" w:color="auto"/>
            </w:tcBorders>
            <w:shd w:val="clear" w:color="auto" w:fill="auto"/>
            <w:noWrap/>
            <w:vAlign w:val="bottom"/>
            <w:hideMark/>
          </w:tcPr>
          <w:p w14:paraId="312B7A41" w14:textId="77777777" w:rsidR="00BC7604" w:rsidRPr="00153AAC" w:rsidRDefault="00BC7604" w:rsidP="00575DCB">
            <w:pPr>
              <w:spacing w:after="0" w:line="240" w:lineRule="auto"/>
              <w:rPr>
                <w:rFonts w:eastAsia="Times New Roman" w:cs="Times New Roman"/>
                <w:color w:val="000000"/>
                <w:sz w:val="20"/>
                <w:szCs w:val="20"/>
                <w:lang w:val="en-US"/>
              </w:rPr>
            </w:pPr>
            <w:r w:rsidRPr="00153AAC">
              <w:rPr>
                <w:rFonts w:eastAsia="Times New Roman" w:cs="Times New Roman"/>
                <w:color w:val="000000"/>
                <w:sz w:val="20"/>
                <w:szCs w:val="20"/>
                <w:lang w:val="en-US"/>
              </w:rPr>
              <w:t> </w:t>
            </w:r>
          </w:p>
        </w:tc>
        <w:tc>
          <w:tcPr>
            <w:tcW w:w="3480" w:type="dxa"/>
            <w:gridSpan w:val="4"/>
            <w:vMerge/>
            <w:tcBorders>
              <w:top w:val="nil"/>
              <w:left w:val="nil"/>
              <w:bottom w:val="single" w:sz="4" w:space="0" w:color="auto"/>
              <w:right w:val="single" w:sz="4" w:space="0" w:color="auto"/>
            </w:tcBorders>
            <w:vAlign w:val="center"/>
            <w:hideMark/>
          </w:tcPr>
          <w:p w14:paraId="6BFDD957" w14:textId="77777777" w:rsidR="00BC7604" w:rsidRPr="00153AAC" w:rsidRDefault="00BC7604" w:rsidP="00575DCB">
            <w:pPr>
              <w:spacing w:after="0" w:line="240" w:lineRule="auto"/>
              <w:rPr>
                <w:rFonts w:eastAsia="Times New Roman" w:cs="Times New Roman"/>
                <w:color w:val="000000"/>
                <w:sz w:val="20"/>
                <w:szCs w:val="20"/>
                <w:lang w:val="en-US"/>
              </w:rPr>
            </w:pPr>
          </w:p>
        </w:tc>
      </w:tr>
      <w:tr w:rsidR="00BC7604" w:rsidRPr="00153AAC" w14:paraId="252064B7" w14:textId="77777777" w:rsidTr="00575DCB">
        <w:trPr>
          <w:trHeight w:val="300"/>
        </w:trPr>
        <w:tc>
          <w:tcPr>
            <w:tcW w:w="2260" w:type="dxa"/>
            <w:tcBorders>
              <w:top w:val="nil"/>
              <w:left w:val="single" w:sz="4" w:space="0" w:color="auto"/>
              <w:bottom w:val="single" w:sz="4" w:space="0" w:color="auto"/>
              <w:right w:val="single" w:sz="4" w:space="0" w:color="auto"/>
            </w:tcBorders>
            <w:shd w:val="clear" w:color="auto" w:fill="auto"/>
            <w:noWrap/>
            <w:vAlign w:val="bottom"/>
            <w:hideMark/>
          </w:tcPr>
          <w:p w14:paraId="69F48E88" w14:textId="77777777" w:rsidR="00BC7604" w:rsidRPr="00153AAC" w:rsidRDefault="00BC7604" w:rsidP="00575DCB">
            <w:pPr>
              <w:spacing w:after="0" w:line="240" w:lineRule="auto"/>
              <w:rPr>
                <w:rFonts w:eastAsia="Times New Roman" w:cs="Times New Roman"/>
                <w:color w:val="000000"/>
                <w:sz w:val="20"/>
                <w:szCs w:val="20"/>
                <w:lang w:val="en-US"/>
              </w:rPr>
            </w:pPr>
            <w:r w:rsidRPr="00153AAC">
              <w:rPr>
                <w:rFonts w:eastAsia="Times New Roman" w:cs="Times New Roman"/>
                <w:color w:val="000000"/>
                <w:sz w:val="20"/>
                <w:szCs w:val="20"/>
                <w:lang w:val="en-US"/>
              </w:rPr>
              <w:t>Tempo de Uso</w:t>
            </w:r>
          </w:p>
        </w:tc>
        <w:tc>
          <w:tcPr>
            <w:tcW w:w="2600" w:type="dxa"/>
            <w:tcBorders>
              <w:top w:val="nil"/>
              <w:left w:val="nil"/>
              <w:bottom w:val="single" w:sz="4" w:space="0" w:color="auto"/>
              <w:right w:val="single" w:sz="4" w:space="0" w:color="auto"/>
            </w:tcBorders>
            <w:shd w:val="clear" w:color="auto" w:fill="auto"/>
            <w:noWrap/>
            <w:vAlign w:val="bottom"/>
            <w:hideMark/>
          </w:tcPr>
          <w:p w14:paraId="660CEF24" w14:textId="77777777" w:rsidR="00BC7604" w:rsidRPr="00153AAC" w:rsidRDefault="00BC7604" w:rsidP="00575DCB">
            <w:pPr>
              <w:spacing w:after="0" w:line="240" w:lineRule="auto"/>
              <w:jc w:val="right"/>
              <w:rPr>
                <w:rFonts w:eastAsia="Times New Roman" w:cs="Times New Roman"/>
                <w:color w:val="000000"/>
                <w:sz w:val="20"/>
                <w:szCs w:val="20"/>
                <w:lang w:val="en-US"/>
              </w:rPr>
            </w:pPr>
            <w:r w:rsidRPr="00153AAC">
              <w:rPr>
                <w:rFonts w:eastAsia="Times New Roman" w:cs="Times New Roman"/>
                <w:color w:val="000000"/>
                <w:sz w:val="20"/>
                <w:szCs w:val="20"/>
                <w:lang w:val="en-US"/>
              </w:rPr>
              <w:t>1.572</w:t>
            </w:r>
          </w:p>
        </w:tc>
        <w:tc>
          <w:tcPr>
            <w:tcW w:w="3480" w:type="dxa"/>
            <w:gridSpan w:val="4"/>
            <w:vMerge/>
            <w:tcBorders>
              <w:top w:val="nil"/>
              <w:left w:val="nil"/>
              <w:bottom w:val="single" w:sz="4" w:space="0" w:color="auto"/>
              <w:right w:val="single" w:sz="4" w:space="0" w:color="auto"/>
            </w:tcBorders>
            <w:vAlign w:val="center"/>
            <w:hideMark/>
          </w:tcPr>
          <w:p w14:paraId="193F1BF6" w14:textId="77777777" w:rsidR="00BC7604" w:rsidRPr="00153AAC" w:rsidRDefault="00BC7604" w:rsidP="00575DCB">
            <w:pPr>
              <w:spacing w:after="0" w:line="240" w:lineRule="auto"/>
              <w:rPr>
                <w:rFonts w:eastAsia="Times New Roman" w:cs="Times New Roman"/>
                <w:color w:val="000000"/>
                <w:sz w:val="20"/>
                <w:szCs w:val="20"/>
                <w:lang w:val="en-US"/>
              </w:rPr>
            </w:pPr>
          </w:p>
        </w:tc>
      </w:tr>
      <w:tr w:rsidR="00BC7604" w:rsidRPr="00153AAC" w14:paraId="4C292507" w14:textId="77777777" w:rsidTr="00575DCB">
        <w:trPr>
          <w:trHeight w:val="300"/>
        </w:trPr>
        <w:tc>
          <w:tcPr>
            <w:tcW w:w="2260" w:type="dxa"/>
            <w:tcBorders>
              <w:top w:val="nil"/>
              <w:left w:val="single" w:sz="4" w:space="0" w:color="auto"/>
              <w:bottom w:val="single" w:sz="4" w:space="0" w:color="auto"/>
              <w:right w:val="single" w:sz="4" w:space="0" w:color="auto"/>
            </w:tcBorders>
            <w:shd w:val="clear" w:color="auto" w:fill="auto"/>
            <w:noWrap/>
            <w:vAlign w:val="bottom"/>
            <w:hideMark/>
          </w:tcPr>
          <w:p w14:paraId="66C48ABB" w14:textId="77777777" w:rsidR="00BC7604" w:rsidRPr="00153AAC" w:rsidRDefault="00BC7604" w:rsidP="00575DCB">
            <w:pPr>
              <w:spacing w:after="0" w:line="240" w:lineRule="auto"/>
              <w:rPr>
                <w:rFonts w:eastAsia="Times New Roman" w:cs="Times New Roman"/>
                <w:color w:val="000000"/>
                <w:sz w:val="20"/>
                <w:szCs w:val="20"/>
                <w:lang w:val="en-US"/>
              </w:rPr>
            </w:pPr>
            <w:proofErr w:type="spellStart"/>
            <w:r w:rsidRPr="00153AAC">
              <w:rPr>
                <w:rFonts w:eastAsia="Times New Roman" w:cs="Times New Roman"/>
                <w:color w:val="000000"/>
                <w:sz w:val="20"/>
                <w:szCs w:val="20"/>
                <w:lang w:val="en-US"/>
              </w:rPr>
              <w:t>Frequência</w:t>
            </w:r>
            <w:proofErr w:type="spellEnd"/>
            <w:r w:rsidRPr="00153AAC">
              <w:rPr>
                <w:rFonts w:eastAsia="Times New Roman" w:cs="Times New Roman"/>
                <w:color w:val="000000"/>
                <w:sz w:val="20"/>
                <w:szCs w:val="20"/>
                <w:lang w:val="en-US"/>
              </w:rPr>
              <w:t xml:space="preserve"> de Uso</w:t>
            </w:r>
          </w:p>
        </w:tc>
        <w:tc>
          <w:tcPr>
            <w:tcW w:w="2600" w:type="dxa"/>
            <w:tcBorders>
              <w:top w:val="nil"/>
              <w:left w:val="nil"/>
              <w:bottom w:val="single" w:sz="4" w:space="0" w:color="auto"/>
              <w:right w:val="single" w:sz="4" w:space="0" w:color="auto"/>
            </w:tcBorders>
            <w:shd w:val="clear" w:color="auto" w:fill="auto"/>
            <w:noWrap/>
            <w:vAlign w:val="bottom"/>
            <w:hideMark/>
          </w:tcPr>
          <w:p w14:paraId="1D0B285D" w14:textId="77777777" w:rsidR="00BC7604" w:rsidRPr="00153AAC" w:rsidRDefault="00BC7604" w:rsidP="00575DCB">
            <w:pPr>
              <w:spacing w:after="0" w:line="240" w:lineRule="auto"/>
              <w:jc w:val="right"/>
              <w:rPr>
                <w:rFonts w:eastAsia="Times New Roman" w:cs="Times New Roman"/>
                <w:color w:val="000000"/>
                <w:sz w:val="20"/>
                <w:szCs w:val="20"/>
                <w:lang w:val="en-US"/>
              </w:rPr>
            </w:pPr>
            <w:r w:rsidRPr="00153AAC">
              <w:rPr>
                <w:rFonts w:eastAsia="Times New Roman" w:cs="Times New Roman"/>
                <w:color w:val="000000"/>
                <w:sz w:val="20"/>
                <w:szCs w:val="20"/>
                <w:lang w:val="en-US"/>
              </w:rPr>
              <w:t>1.165</w:t>
            </w:r>
          </w:p>
        </w:tc>
        <w:tc>
          <w:tcPr>
            <w:tcW w:w="3480" w:type="dxa"/>
            <w:gridSpan w:val="4"/>
            <w:vMerge/>
            <w:tcBorders>
              <w:top w:val="nil"/>
              <w:left w:val="nil"/>
              <w:bottom w:val="single" w:sz="4" w:space="0" w:color="auto"/>
              <w:right w:val="single" w:sz="4" w:space="0" w:color="auto"/>
            </w:tcBorders>
            <w:vAlign w:val="center"/>
            <w:hideMark/>
          </w:tcPr>
          <w:p w14:paraId="50183800" w14:textId="77777777" w:rsidR="00BC7604" w:rsidRPr="00153AAC" w:rsidRDefault="00BC7604" w:rsidP="00575DCB">
            <w:pPr>
              <w:spacing w:after="0" w:line="240" w:lineRule="auto"/>
              <w:rPr>
                <w:rFonts w:eastAsia="Times New Roman" w:cs="Times New Roman"/>
                <w:color w:val="000000"/>
                <w:sz w:val="20"/>
                <w:szCs w:val="20"/>
                <w:lang w:val="en-US"/>
              </w:rPr>
            </w:pPr>
          </w:p>
        </w:tc>
      </w:tr>
      <w:tr w:rsidR="00BC7604" w:rsidRPr="00153AAC" w14:paraId="41F3A421" w14:textId="77777777" w:rsidTr="00575DCB">
        <w:trPr>
          <w:trHeight w:val="300"/>
        </w:trPr>
        <w:tc>
          <w:tcPr>
            <w:tcW w:w="2260" w:type="dxa"/>
            <w:tcBorders>
              <w:top w:val="nil"/>
              <w:left w:val="single" w:sz="4" w:space="0" w:color="auto"/>
              <w:bottom w:val="single" w:sz="4" w:space="0" w:color="auto"/>
              <w:right w:val="single" w:sz="4" w:space="0" w:color="auto"/>
            </w:tcBorders>
            <w:shd w:val="clear" w:color="auto" w:fill="auto"/>
            <w:noWrap/>
            <w:vAlign w:val="bottom"/>
            <w:hideMark/>
          </w:tcPr>
          <w:p w14:paraId="617E4CE4" w14:textId="77777777" w:rsidR="00BC7604" w:rsidRPr="00153AAC" w:rsidRDefault="00BC7604" w:rsidP="00575DCB">
            <w:pPr>
              <w:spacing w:after="0" w:line="240" w:lineRule="auto"/>
              <w:rPr>
                <w:rFonts w:eastAsia="Times New Roman" w:cs="Times New Roman"/>
                <w:color w:val="000000"/>
                <w:sz w:val="20"/>
                <w:szCs w:val="20"/>
                <w:lang w:val="en-US"/>
              </w:rPr>
            </w:pPr>
            <w:proofErr w:type="spellStart"/>
            <w:r w:rsidRPr="00153AAC">
              <w:rPr>
                <w:rFonts w:eastAsia="Times New Roman" w:cs="Times New Roman"/>
                <w:color w:val="000000"/>
                <w:sz w:val="20"/>
                <w:szCs w:val="20"/>
                <w:lang w:val="en-US"/>
              </w:rPr>
              <w:t>Desempenho</w:t>
            </w:r>
            <w:proofErr w:type="spellEnd"/>
            <w:r w:rsidRPr="00153AAC">
              <w:rPr>
                <w:rFonts w:eastAsia="Times New Roman" w:cs="Times New Roman"/>
                <w:color w:val="000000"/>
                <w:sz w:val="20"/>
                <w:szCs w:val="20"/>
                <w:lang w:val="en-US"/>
              </w:rPr>
              <w:t xml:space="preserve"> </w:t>
            </w:r>
            <w:proofErr w:type="spellStart"/>
            <w:r w:rsidRPr="00153AAC">
              <w:rPr>
                <w:rFonts w:eastAsia="Times New Roman" w:cs="Times New Roman"/>
                <w:color w:val="000000"/>
                <w:sz w:val="20"/>
                <w:szCs w:val="20"/>
                <w:lang w:val="en-US"/>
              </w:rPr>
              <w:t>em</w:t>
            </w:r>
            <w:proofErr w:type="spellEnd"/>
            <w:r w:rsidRPr="00153AAC">
              <w:rPr>
                <w:rFonts w:eastAsia="Times New Roman" w:cs="Times New Roman"/>
                <w:color w:val="000000"/>
                <w:sz w:val="20"/>
                <w:szCs w:val="20"/>
                <w:lang w:val="en-US"/>
              </w:rPr>
              <w:t xml:space="preserve"> </w:t>
            </w:r>
            <w:proofErr w:type="spellStart"/>
            <w:r w:rsidRPr="00153AAC">
              <w:rPr>
                <w:rFonts w:eastAsia="Times New Roman" w:cs="Times New Roman"/>
                <w:color w:val="000000"/>
                <w:sz w:val="20"/>
                <w:szCs w:val="20"/>
                <w:lang w:val="en-US"/>
              </w:rPr>
              <w:t>Vendas</w:t>
            </w:r>
            <w:proofErr w:type="spellEnd"/>
          </w:p>
        </w:tc>
        <w:tc>
          <w:tcPr>
            <w:tcW w:w="2600" w:type="dxa"/>
            <w:tcBorders>
              <w:top w:val="nil"/>
              <w:left w:val="nil"/>
              <w:bottom w:val="single" w:sz="4" w:space="0" w:color="auto"/>
              <w:right w:val="single" w:sz="4" w:space="0" w:color="auto"/>
            </w:tcBorders>
            <w:shd w:val="clear" w:color="auto" w:fill="auto"/>
            <w:noWrap/>
            <w:vAlign w:val="bottom"/>
            <w:hideMark/>
          </w:tcPr>
          <w:p w14:paraId="4558AE61" w14:textId="77777777" w:rsidR="00BC7604" w:rsidRPr="00153AAC" w:rsidRDefault="00BC7604" w:rsidP="00575DCB">
            <w:pPr>
              <w:spacing w:after="0" w:line="240" w:lineRule="auto"/>
              <w:jc w:val="right"/>
              <w:rPr>
                <w:rFonts w:eastAsia="Times New Roman" w:cs="Times New Roman"/>
                <w:color w:val="000000"/>
                <w:sz w:val="20"/>
                <w:szCs w:val="20"/>
                <w:lang w:val="en-US"/>
              </w:rPr>
            </w:pPr>
            <w:r w:rsidRPr="00153AAC">
              <w:rPr>
                <w:rFonts w:eastAsia="Times New Roman" w:cs="Times New Roman"/>
                <w:color w:val="000000"/>
                <w:sz w:val="20"/>
                <w:szCs w:val="20"/>
                <w:lang w:val="en-US"/>
              </w:rPr>
              <w:t>1.147</w:t>
            </w:r>
          </w:p>
        </w:tc>
        <w:tc>
          <w:tcPr>
            <w:tcW w:w="3480" w:type="dxa"/>
            <w:gridSpan w:val="4"/>
            <w:vMerge/>
            <w:tcBorders>
              <w:top w:val="nil"/>
              <w:left w:val="nil"/>
              <w:bottom w:val="single" w:sz="4" w:space="0" w:color="auto"/>
              <w:right w:val="single" w:sz="4" w:space="0" w:color="auto"/>
            </w:tcBorders>
            <w:vAlign w:val="center"/>
            <w:hideMark/>
          </w:tcPr>
          <w:p w14:paraId="76269A20" w14:textId="77777777" w:rsidR="00BC7604" w:rsidRPr="00153AAC" w:rsidRDefault="00BC7604" w:rsidP="00575DCB">
            <w:pPr>
              <w:spacing w:after="0" w:line="240" w:lineRule="auto"/>
              <w:rPr>
                <w:rFonts w:eastAsia="Times New Roman" w:cs="Times New Roman"/>
                <w:color w:val="000000"/>
                <w:sz w:val="20"/>
                <w:szCs w:val="20"/>
                <w:lang w:val="en-US"/>
              </w:rPr>
            </w:pPr>
          </w:p>
        </w:tc>
      </w:tr>
      <w:tr w:rsidR="00BC7604" w:rsidRPr="00153AAC" w14:paraId="2CB20536" w14:textId="77777777" w:rsidTr="00575DCB">
        <w:trPr>
          <w:trHeight w:val="300"/>
        </w:trPr>
        <w:tc>
          <w:tcPr>
            <w:tcW w:w="2260" w:type="dxa"/>
            <w:tcBorders>
              <w:top w:val="nil"/>
              <w:left w:val="single" w:sz="4" w:space="0" w:color="auto"/>
              <w:bottom w:val="single" w:sz="4" w:space="0" w:color="auto"/>
              <w:right w:val="single" w:sz="4" w:space="0" w:color="auto"/>
            </w:tcBorders>
            <w:shd w:val="clear" w:color="auto" w:fill="auto"/>
            <w:noWrap/>
            <w:vAlign w:val="bottom"/>
            <w:hideMark/>
          </w:tcPr>
          <w:p w14:paraId="3AEC4C0C" w14:textId="77777777" w:rsidR="00BC7604" w:rsidRPr="00153AAC" w:rsidRDefault="00BC7604" w:rsidP="00575DCB">
            <w:pPr>
              <w:spacing w:after="0" w:line="240" w:lineRule="auto"/>
              <w:rPr>
                <w:rFonts w:eastAsia="Times New Roman" w:cs="Times New Roman"/>
                <w:color w:val="000000"/>
                <w:sz w:val="20"/>
                <w:szCs w:val="20"/>
                <w:lang w:val="en-US"/>
              </w:rPr>
            </w:pPr>
            <w:proofErr w:type="spellStart"/>
            <w:r w:rsidRPr="00153AAC">
              <w:rPr>
                <w:rFonts w:eastAsia="Times New Roman" w:cs="Times New Roman"/>
                <w:color w:val="000000"/>
                <w:sz w:val="20"/>
                <w:szCs w:val="20"/>
                <w:lang w:val="en-US"/>
              </w:rPr>
              <w:t>Condições</w:t>
            </w:r>
            <w:proofErr w:type="spellEnd"/>
            <w:r w:rsidRPr="00153AAC">
              <w:rPr>
                <w:rFonts w:eastAsia="Times New Roman" w:cs="Times New Roman"/>
                <w:color w:val="000000"/>
                <w:sz w:val="20"/>
                <w:szCs w:val="20"/>
                <w:lang w:val="en-US"/>
              </w:rPr>
              <w:t xml:space="preserve"> </w:t>
            </w:r>
            <w:proofErr w:type="spellStart"/>
            <w:r w:rsidRPr="00153AAC">
              <w:rPr>
                <w:rFonts w:eastAsia="Times New Roman" w:cs="Times New Roman"/>
                <w:color w:val="000000"/>
                <w:sz w:val="20"/>
                <w:szCs w:val="20"/>
                <w:lang w:val="en-US"/>
              </w:rPr>
              <w:t>Facilitadoras</w:t>
            </w:r>
            <w:proofErr w:type="spellEnd"/>
          </w:p>
        </w:tc>
        <w:tc>
          <w:tcPr>
            <w:tcW w:w="2600" w:type="dxa"/>
            <w:tcBorders>
              <w:top w:val="nil"/>
              <w:left w:val="nil"/>
              <w:bottom w:val="single" w:sz="4" w:space="0" w:color="auto"/>
              <w:right w:val="single" w:sz="4" w:space="0" w:color="auto"/>
            </w:tcBorders>
            <w:shd w:val="clear" w:color="auto" w:fill="auto"/>
            <w:noWrap/>
            <w:vAlign w:val="bottom"/>
            <w:hideMark/>
          </w:tcPr>
          <w:p w14:paraId="162E3BD5" w14:textId="77777777" w:rsidR="00BC7604" w:rsidRPr="00153AAC" w:rsidRDefault="00BC7604" w:rsidP="00575DCB">
            <w:pPr>
              <w:spacing w:after="0" w:line="240" w:lineRule="auto"/>
              <w:jc w:val="right"/>
              <w:rPr>
                <w:rFonts w:eastAsia="Times New Roman" w:cs="Times New Roman"/>
                <w:color w:val="000000"/>
                <w:sz w:val="20"/>
                <w:szCs w:val="20"/>
                <w:lang w:val="en-US"/>
              </w:rPr>
            </w:pPr>
            <w:r w:rsidRPr="00153AAC">
              <w:rPr>
                <w:rFonts w:eastAsia="Times New Roman" w:cs="Times New Roman"/>
                <w:color w:val="000000"/>
                <w:sz w:val="20"/>
                <w:szCs w:val="20"/>
                <w:lang w:val="en-US"/>
              </w:rPr>
              <w:t>1.723</w:t>
            </w:r>
          </w:p>
        </w:tc>
        <w:tc>
          <w:tcPr>
            <w:tcW w:w="3480" w:type="dxa"/>
            <w:gridSpan w:val="4"/>
            <w:vMerge/>
            <w:tcBorders>
              <w:top w:val="nil"/>
              <w:left w:val="nil"/>
              <w:bottom w:val="single" w:sz="4" w:space="0" w:color="auto"/>
              <w:right w:val="single" w:sz="4" w:space="0" w:color="auto"/>
            </w:tcBorders>
            <w:vAlign w:val="center"/>
            <w:hideMark/>
          </w:tcPr>
          <w:p w14:paraId="06BA1B32" w14:textId="77777777" w:rsidR="00BC7604" w:rsidRPr="00153AAC" w:rsidRDefault="00BC7604" w:rsidP="00575DCB">
            <w:pPr>
              <w:spacing w:after="0" w:line="240" w:lineRule="auto"/>
              <w:rPr>
                <w:rFonts w:eastAsia="Times New Roman" w:cs="Times New Roman"/>
                <w:color w:val="000000"/>
                <w:sz w:val="20"/>
                <w:szCs w:val="20"/>
                <w:lang w:val="en-US"/>
              </w:rPr>
            </w:pPr>
          </w:p>
        </w:tc>
      </w:tr>
    </w:tbl>
    <w:p w14:paraId="447EBD5C" w14:textId="753310B8" w:rsidR="00BC7604" w:rsidRPr="002F4626" w:rsidRDefault="002F4626" w:rsidP="00634674">
      <w:pPr>
        <w:spacing w:after="0" w:line="360" w:lineRule="auto"/>
        <w:jc w:val="both"/>
        <w:rPr>
          <w:rFonts w:cs="Times New Roman"/>
          <w:color w:val="000000" w:themeColor="text1"/>
          <w:sz w:val="20"/>
          <w:szCs w:val="18"/>
        </w:rPr>
      </w:pPr>
      <w:r w:rsidRPr="002F4626">
        <w:rPr>
          <w:rFonts w:cs="Times New Roman"/>
          <w:color w:val="000000" w:themeColor="text1"/>
          <w:sz w:val="20"/>
          <w:szCs w:val="18"/>
        </w:rPr>
        <w:t>Fonte: Autor (2024).</w:t>
      </w:r>
    </w:p>
    <w:p w14:paraId="4D335CF8" w14:textId="77777777" w:rsidR="00BC7604" w:rsidRDefault="00BC7604" w:rsidP="00BC7604">
      <w:pPr>
        <w:spacing w:after="0" w:line="360" w:lineRule="auto"/>
        <w:ind w:firstLine="708"/>
        <w:jc w:val="both"/>
        <w:rPr>
          <w:rFonts w:cs="Times New Roman"/>
        </w:rPr>
      </w:pPr>
      <w:r>
        <w:rPr>
          <w:rFonts w:cs="Times New Roman"/>
        </w:rPr>
        <w:t>De acordo com a tabela 2, quase 56% do Uso de ERP foi explicado somente por três preditores: Desempenho de Vendas, Frequência de Uso e Tempo de Uso. Este resultado ressalta a eficiência do modelo, pois poucas variáveis são responsáveis por explicar a maior parte do fenômeno.</w:t>
      </w:r>
      <w:r w:rsidRPr="004C05ED">
        <w:rPr>
          <w:rFonts w:cs="Times New Roman"/>
        </w:rPr>
        <w:t xml:space="preserve"> </w:t>
      </w:r>
      <w:r>
        <w:rPr>
          <w:rFonts w:cs="Times New Roman"/>
        </w:rPr>
        <w:t xml:space="preserve">O R² pode ser </w:t>
      </w:r>
      <w:r w:rsidRPr="00C27487">
        <w:rPr>
          <w:rFonts w:cs="Times New Roman"/>
        </w:rPr>
        <w:t xml:space="preserve">considerado </w:t>
      </w:r>
      <w:r>
        <w:rPr>
          <w:rFonts w:cs="Times New Roman"/>
        </w:rPr>
        <w:t xml:space="preserve">como de tamanho </w:t>
      </w:r>
      <w:r w:rsidRPr="00C27487">
        <w:rPr>
          <w:rFonts w:cs="Times New Roman"/>
        </w:rPr>
        <w:t>grande (COHEN, 1988).</w:t>
      </w:r>
      <w:r>
        <w:rPr>
          <w:rFonts w:cs="Times New Roman"/>
        </w:rPr>
        <w:t xml:space="preserve"> </w:t>
      </w:r>
    </w:p>
    <w:p w14:paraId="46827B2C" w14:textId="61426F13" w:rsidR="00BC7604" w:rsidRDefault="00BC7604" w:rsidP="00BC7604">
      <w:pPr>
        <w:spacing w:after="0" w:line="360" w:lineRule="auto"/>
        <w:ind w:firstLine="708"/>
        <w:jc w:val="both"/>
        <w:rPr>
          <w:rFonts w:cs="Times New Roman"/>
        </w:rPr>
      </w:pPr>
      <w:r>
        <w:rPr>
          <w:rFonts w:cs="Times New Roman"/>
        </w:rPr>
        <w:t xml:space="preserve">A </w:t>
      </w:r>
      <w:r w:rsidR="00634674">
        <w:rPr>
          <w:rFonts w:cs="Times New Roman"/>
        </w:rPr>
        <w:t>T</w:t>
      </w:r>
      <w:r>
        <w:rPr>
          <w:rFonts w:cs="Times New Roman"/>
        </w:rPr>
        <w:t xml:space="preserve">abela 2 apresenta a soma dos quadrados, o teste F e P-valores do modelo, indicando valores ótimos e significantes estatisticamente (P&lt;0,05). Desta forma, é possível </w:t>
      </w:r>
      <w:proofErr w:type="spellStart"/>
      <w:r>
        <w:rPr>
          <w:rFonts w:cs="Times New Roman"/>
        </w:rPr>
        <w:t>afirma</w:t>
      </w:r>
      <w:proofErr w:type="spellEnd"/>
      <w:r>
        <w:rPr>
          <w:rFonts w:cs="Times New Roman"/>
        </w:rPr>
        <w:t xml:space="preserve"> que o modelo tem validade estatística. Ainda é possível observar valores de VIF menores que 5, indicando parâmetros ótimos (</w:t>
      </w:r>
      <w:r w:rsidRPr="00C27487">
        <w:rPr>
          <w:rFonts w:cs="Times New Roman"/>
        </w:rPr>
        <w:t xml:space="preserve">HAIR </w:t>
      </w:r>
      <w:r w:rsidRPr="00634674">
        <w:rPr>
          <w:rFonts w:cs="Times New Roman"/>
          <w:i/>
        </w:rPr>
        <w:t>et al</w:t>
      </w:r>
      <w:r>
        <w:rPr>
          <w:rFonts w:cs="Times New Roman"/>
        </w:rPr>
        <w:t>.</w:t>
      </w:r>
      <w:r w:rsidRPr="00C27487">
        <w:rPr>
          <w:rFonts w:cs="Times New Roman"/>
        </w:rPr>
        <w:t>,</w:t>
      </w:r>
      <w:r>
        <w:rPr>
          <w:rFonts w:cs="Times New Roman"/>
        </w:rPr>
        <w:t xml:space="preserve"> </w:t>
      </w:r>
      <w:r w:rsidRPr="00C27487">
        <w:rPr>
          <w:rFonts w:cs="Times New Roman"/>
        </w:rPr>
        <w:t>2014</w:t>
      </w:r>
      <w:r>
        <w:rPr>
          <w:rFonts w:cs="Times New Roman"/>
        </w:rPr>
        <w:t xml:space="preserve">). Podemos confirmar que não há problemas de </w:t>
      </w:r>
      <w:proofErr w:type="spellStart"/>
      <w:r>
        <w:rPr>
          <w:rFonts w:cs="Times New Roman"/>
        </w:rPr>
        <w:t>multicolinearidade</w:t>
      </w:r>
      <w:proofErr w:type="spellEnd"/>
      <w:r>
        <w:rPr>
          <w:rFonts w:cs="Times New Roman"/>
        </w:rPr>
        <w:t xml:space="preserve"> no modelo testado.</w:t>
      </w:r>
    </w:p>
    <w:p w14:paraId="16BC221A" w14:textId="7F08F452" w:rsidR="00BC7604" w:rsidRDefault="00BC7604" w:rsidP="00BC7604">
      <w:pPr>
        <w:spacing w:after="0" w:line="360" w:lineRule="auto"/>
        <w:ind w:firstLine="708"/>
        <w:jc w:val="both"/>
        <w:rPr>
          <w:rFonts w:cs="Times New Roman"/>
        </w:rPr>
      </w:pPr>
      <w:r>
        <w:rPr>
          <w:rFonts w:cs="Times New Roman"/>
        </w:rPr>
        <w:t xml:space="preserve">A </w:t>
      </w:r>
      <w:r w:rsidR="00634674">
        <w:rPr>
          <w:rFonts w:cs="Times New Roman"/>
        </w:rPr>
        <w:t>F</w:t>
      </w:r>
      <w:r>
        <w:rPr>
          <w:rFonts w:cs="Times New Roman"/>
        </w:rPr>
        <w:t>igura 2 apresenta a distribuição dos resíduos da regressão múltipla.</w:t>
      </w:r>
    </w:p>
    <w:p w14:paraId="4A74EE20" w14:textId="77777777" w:rsidR="00BC7604" w:rsidRDefault="00BC7604" w:rsidP="00BC7604">
      <w:pPr>
        <w:spacing w:after="0" w:line="360" w:lineRule="auto"/>
        <w:ind w:firstLine="708"/>
        <w:rPr>
          <w:rFonts w:cs="Times New Roman"/>
        </w:rPr>
      </w:pPr>
      <w:r>
        <w:rPr>
          <w:noProof/>
        </w:rPr>
        <w:drawing>
          <wp:inline distT="0" distB="0" distL="0" distR="0" wp14:anchorId="79E4C667" wp14:editId="589C51B5">
            <wp:extent cx="5374084" cy="2914650"/>
            <wp:effectExtent l="0" t="0" r="0" b="0"/>
            <wp:docPr id="3" name="Imagem 2" descr="Gráfico, Histograma&#10;&#10;Descrição gerada automaticamente">
              <a:extLst xmlns:a="http://schemas.openxmlformats.org/drawingml/2006/main">
                <a:ext uri="{FF2B5EF4-FFF2-40B4-BE49-F238E27FC236}">
                  <a16:creationId xmlns:a16="http://schemas.microsoft.com/office/drawing/2014/main" id="{690D0E85-96FF-C686-C80B-98DBD4D98A3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2" descr="Gráfico, Histograma&#10;&#10;Descrição gerada automaticamente">
                      <a:extLst>
                        <a:ext uri="{FF2B5EF4-FFF2-40B4-BE49-F238E27FC236}">
                          <a16:creationId xmlns:a16="http://schemas.microsoft.com/office/drawing/2014/main" id="{690D0E85-96FF-C686-C80B-98DBD4D98A3B}"/>
                        </a:ext>
                      </a:extLst>
                    </pic:cNvPr>
                    <pic:cNvPicPr>
                      <a:picLocks noChangeAspect="1"/>
                    </pic:cNvPicPr>
                  </pic:nvPicPr>
                  <pic:blipFill>
                    <a:blip r:embed="rId7"/>
                    <a:stretch>
                      <a:fillRect/>
                    </a:stretch>
                  </pic:blipFill>
                  <pic:spPr>
                    <a:xfrm>
                      <a:off x="0" y="0"/>
                      <a:ext cx="5398891" cy="2928104"/>
                    </a:xfrm>
                    <a:prstGeom prst="rect">
                      <a:avLst/>
                    </a:prstGeom>
                  </pic:spPr>
                </pic:pic>
              </a:graphicData>
            </a:graphic>
          </wp:inline>
        </w:drawing>
      </w:r>
    </w:p>
    <w:p w14:paraId="02E021B0" w14:textId="77777777" w:rsidR="00BC7604" w:rsidRDefault="00BC7604" w:rsidP="00BC7604">
      <w:pPr>
        <w:spacing w:after="0" w:line="360" w:lineRule="auto"/>
        <w:ind w:firstLine="708"/>
        <w:jc w:val="both"/>
        <w:rPr>
          <w:rFonts w:cs="Times New Roman"/>
        </w:rPr>
      </w:pPr>
      <w:r>
        <w:rPr>
          <w:rFonts w:cs="Times New Roman"/>
        </w:rPr>
        <w:lastRenderedPageBreak/>
        <w:t>A tabele 3 abaixo indica os testes de hipóteses e a decisão sobre elas.</w:t>
      </w:r>
    </w:p>
    <w:p w14:paraId="6B790B2A" w14:textId="77777777" w:rsidR="00BC7604" w:rsidRDefault="00BC7604" w:rsidP="00BC7604">
      <w:pPr>
        <w:spacing w:after="0" w:line="360" w:lineRule="auto"/>
        <w:jc w:val="both"/>
        <w:rPr>
          <w:rFonts w:cs="Times New Roman"/>
        </w:rPr>
      </w:pPr>
    </w:p>
    <w:p w14:paraId="1DAE4D3D" w14:textId="77777777" w:rsidR="00BC7604" w:rsidRPr="00C27487" w:rsidRDefault="00BC7604" w:rsidP="00BC7604">
      <w:pPr>
        <w:spacing w:after="0" w:line="360" w:lineRule="auto"/>
        <w:jc w:val="center"/>
        <w:rPr>
          <w:rFonts w:cs="Times New Roman"/>
        </w:rPr>
      </w:pPr>
      <w:r w:rsidRPr="00A03927">
        <w:rPr>
          <w:rFonts w:cs="Times New Roman"/>
        </w:rPr>
        <w:t>Tabela 3</w:t>
      </w:r>
      <w:r w:rsidRPr="00A03927">
        <w:rPr>
          <w:rFonts w:cs="Times New Roman"/>
          <w:noProof/>
        </w:rPr>
        <w:t>—</w:t>
      </w:r>
      <w:r w:rsidRPr="00A03927">
        <w:rPr>
          <w:rFonts w:cs="Times New Roman"/>
        </w:rPr>
        <w:t xml:space="preserve"> Análise das Hipóteses.</w:t>
      </w:r>
    </w:p>
    <w:tbl>
      <w:tblPr>
        <w:tblW w:w="9271" w:type="dxa"/>
        <w:tblLook w:val="04A0" w:firstRow="1" w:lastRow="0" w:firstColumn="1" w:lastColumn="0" w:noHBand="0" w:noVBand="1"/>
      </w:tblPr>
      <w:tblGrid>
        <w:gridCol w:w="1327"/>
        <w:gridCol w:w="2778"/>
        <w:gridCol w:w="666"/>
        <w:gridCol w:w="964"/>
        <w:gridCol w:w="964"/>
        <w:gridCol w:w="850"/>
        <w:gridCol w:w="850"/>
        <w:gridCol w:w="872"/>
      </w:tblGrid>
      <w:tr w:rsidR="00BC7604" w:rsidRPr="00F514AB" w14:paraId="36FAC40D" w14:textId="77777777" w:rsidTr="00575DCB">
        <w:trPr>
          <w:trHeight w:val="19"/>
        </w:trPr>
        <w:tc>
          <w:tcPr>
            <w:tcW w:w="1327" w:type="dxa"/>
            <w:tcBorders>
              <w:top w:val="single" w:sz="8" w:space="0" w:color="auto"/>
              <w:left w:val="nil"/>
              <w:bottom w:val="single" w:sz="8" w:space="0" w:color="auto"/>
              <w:right w:val="nil"/>
            </w:tcBorders>
            <w:shd w:val="clear" w:color="auto" w:fill="auto"/>
            <w:vAlign w:val="center"/>
            <w:hideMark/>
          </w:tcPr>
          <w:p w14:paraId="42D5D4D5" w14:textId="77777777" w:rsidR="00BC7604" w:rsidRPr="00F514AB" w:rsidRDefault="00BC7604" w:rsidP="00575DCB">
            <w:pPr>
              <w:spacing w:after="0" w:line="240" w:lineRule="auto"/>
              <w:jc w:val="center"/>
              <w:rPr>
                <w:rFonts w:eastAsia="Times New Roman" w:cs="Times New Roman"/>
                <w:b/>
                <w:bCs/>
                <w:color w:val="000000"/>
                <w:sz w:val="20"/>
                <w:szCs w:val="20"/>
                <w:lang w:val="en-US"/>
              </w:rPr>
            </w:pPr>
            <w:r w:rsidRPr="00F514AB">
              <w:rPr>
                <w:rFonts w:eastAsia="Times New Roman" w:cs="Times New Roman"/>
                <w:b/>
                <w:bCs/>
                <w:color w:val="000000"/>
                <w:sz w:val="20"/>
                <w:szCs w:val="20"/>
              </w:rPr>
              <w:t>Hipóteses</w:t>
            </w:r>
          </w:p>
        </w:tc>
        <w:tc>
          <w:tcPr>
            <w:tcW w:w="2778" w:type="dxa"/>
            <w:tcBorders>
              <w:top w:val="single" w:sz="8" w:space="0" w:color="auto"/>
              <w:left w:val="nil"/>
              <w:bottom w:val="single" w:sz="8" w:space="0" w:color="auto"/>
              <w:right w:val="nil"/>
            </w:tcBorders>
            <w:shd w:val="clear" w:color="auto" w:fill="auto"/>
            <w:vAlign w:val="center"/>
            <w:hideMark/>
          </w:tcPr>
          <w:p w14:paraId="2052C7A6" w14:textId="77777777" w:rsidR="00BC7604" w:rsidRPr="00F514AB" w:rsidRDefault="00BC7604" w:rsidP="00575DCB">
            <w:pPr>
              <w:spacing w:after="0" w:line="240" w:lineRule="auto"/>
              <w:jc w:val="center"/>
              <w:rPr>
                <w:rFonts w:eastAsia="Times New Roman" w:cs="Times New Roman"/>
                <w:b/>
                <w:bCs/>
                <w:color w:val="000000"/>
                <w:sz w:val="20"/>
                <w:szCs w:val="20"/>
                <w:lang w:val="en-US"/>
              </w:rPr>
            </w:pPr>
            <w:r w:rsidRPr="00F514AB">
              <w:rPr>
                <w:rFonts w:eastAsia="Times New Roman" w:cs="Times New Roman"/>
                <w:b/>
                <w:bCs/>
                <w:color w:val="000000"/>
                <w:sz w:val="20"/>
                <w:szCs w:val="20"/>
              </w:rPr>
              <w:t>Relação</w:t>
            </w:r>
          </w:p>
        </w:tc>
        <w:tc>
          <w:tcPr>
            <w:tcW w:w="666" w:type="dxa"/>
            <w:tcBorders>
              <w:top w:val="single" w:sz="8" w:space="0" w:color="auto"/>
              <w:left w:val="nil"/>
              <w:bottom w:val="single" w:sz="8" w:space="0" w:color="auto"/>
              <w:right w:val="nil"/>
            </w:tcBorders>
            <w:shd w:val="clear" w:color="auto" w:fill="auto"/>
            <w:noWrap/>
            <w:vAlign w:val="center"/>
            <w:hideMark/>
          </w:tcPr>
          <w:p w14:paraId="22C1DDBC" w14:textId="77777777" w:rsidR="00BC7604" w:rsidRPr="00F514AB" w:rsidRDefault="00BC7604" w:rsidP="00575DCB">
            <w:pPr>
              <w:spacing w:after="0" w:line="240" w:lineRule="auto"/>
              <w:jc w:val="center"/>
              <w:rPr>
                <w:rFonts w:ascii="Symbol" w:eastAsia="Times New Roman" w:hAnsi="Symbol" w:cs="Calibri"/>
                <w:b/>
                <w:bCs/>
                <w:color w:val="000000"/>
                <w:sz w:val="20"/>
                <w:szCs w:val="20"/>
                <w:lang w:val="en-US"/>
              </w:rPr>
            </w:pPr>
            <w:bookmarkStart w:id="0" w:name="RANGE!I9"/>
            <w:r w:rsidRPr="00F514AB">
              <w:rPr>
                <w:rFonts w:ascii="Symbol" w:eastAsia="Times New Roman" w:hAnsi="Symbol" w:cs="Calibri"/>
                <w:b/>
                <w:bCs/>
                <w:color w:val="000000"/>
                <w:sz w:val="20"/>
                <w:szCs w:val="20"/>
              </w:rPr>
              <w:sym w:font="Symbol" w:char="F047"/>
            </w:r>
            <w:bookmarkEnd w:id="0"/>
          </w:p>
        </w:tc>
        <w:tc>
          <w:tcPr>
            <w:tcW w:w="964" w:type="dxa"/>
            <w:tcBorders>
              <w:top w:val="single" w:sz="8" w:space="0" w:color="auto"/>
              <w:left w:val="nil"/>
              <w:bottom w:val="single" w:sz="8" w:space="0" w:color="auto"/>
              <w:right w:val="nil"/>
            </w:tcBorders>
            <w:shd w:val="clear" w:color="auto" w:fill="auto"/>
            <w:vAlign w:val="center"/>
            <w:hideMark/>
          </w:tcPr>
          <w:p w14:paraId="02643225" w14:textId="77777777" w:rsidR="00BC7604" w:rsidRPr="00F514AB" w:rsidRDefault="00BC7604" w:rsidP="00575DCB">
            <w:pPr>
              <w:spacing w:after="0" w:line="240" w:lineRule="auto"/>
              <w:jc w:val="center"/>
              <w:rPr>
                <w:rFonts w:eastAsia="Times New Roman" w:cs="Times New Roman"/>
                <w:b/>
                <w:bCs/>
                <w:color w:val="000000"/>
                <w:sz w:val="20"/>
                <w:szCs w:val="20"/>
                <w:lang w:val="en-US"/>
              </w:rPr>
            </w:pPr>
            <w:r w:rsidRPr="00F514AB">
              <w:rPr>
                <w:rFonts w:eastAsia="Times New Roman" w:cs="Times New Roman"/>
                <w:b/>
                <w:bCs/>
                <w:color w:val="000000"/>
                <w:sz w:val="20"/>
                <w:szCs w:val="20"/>
              </w:rPr>
              <w:t>t-valor</w:t>
            </w:r>
          </w:p>
        </w:tc>
        <w:tc>
          <w:tcPr>
            <w:tcW w:w="964" w:type="dxa"/>
            <w:tcBorders>
              <w:top w:val="single" w:sz="8" w:space="0" w:color="auto"/>
              <w:left w:val="nil"/>
              <w:bottom w:val="single" w:sz="8" w:space="0" w:color="auto"/>
              <w:right w:val="nil"/>
            </w:tcBorders>
            <w:shd w:val="clear" w:color="auto" w:fill="auto"/>
            <w:vAlign w:val="center"/>
            <w:hideMark/>
          </w:tcPr>
          <w:p w14:paraId="58E4556F" w14:textId="77777777" w:rsidR="00BC7604" w:rsidRPr="00F514AB" w:rsidRDefault="00BC7604" w:rsidP="00575DCB">
            <w:pPr>
              <w:spacing w:after="0" w:line="240" w:lineRule="auto"/>
              <w:jc w:val="center"/>
              <w:rPr>
                <w:rFonts w:eastAsia="Times New Roman" w:cs="Times New Roman"/>
                <w:b/>
                <w:bCs/>
                <w:color w:val="000000"/>
                <w:sz w:val="20"/>
                <w:szCs w:val="20"/>
                <w:lang w:val="en-US"/>
              </w:rPr>
            </w:pPr>
            <w:r w:rsidRPr="00F514AB">
              <w:rPr>
                <w:rFonts w:eastAsia="Times New Roman" w:cs="Times New Roman"/>
                <w:b/>
                <w:bCs/>
                <w:color w:val="000000"/>
                <w:sz w:val="20"/>
                <w:szCs w:val="20"/>
              </w:rPr>
              <w:t>p-valor</w:t>
            </w:r>
          </w:p>
        </w:tc>
        <w:tc>
          <w:tcPr>
            <w:tcW w:w="850" w:type="dxa"/>
            <w:tcBorders>
              <w:top w:val="single" w:sz="8" w:space="0" w:color="auto"/>
              <w:left w:val="nil"/>
              <w:bottom w:val="nil"/>
              <w:right w:val="nil"/>
            </w:tcBorders>
            <w:shd w:val="clear" w:color="auto" w:fill="auto"/>
            <w:vAlign w:val="center"/>
            <w:hideMark/>
          </w:tcPr>
          <w:p w14:paraId="4AAE72AB" w14:textId="77777777" w:rsidR="00BC7604" w:rsidRPr="00F514AB" w:rsidRDefault="00BC7604" w:rsidP="00575DCB">
            <w:pPr>
              <w:spacing w:after="0" w:line="240" w:lineRule="auto"/>
              <w:jc w:val="center"/>
              <w:rPr>
                <w:rFonts w:eastAsia="Times New Roman" w:cs="Times New Roman"/>
                <w:b/>
                <w:bCs/>
                <w:color w:val="000000"/>
                <w:sz w:val="20"/>
                <w:szCs w:val="20"/>
                <w:lang w:val="en-US"/>
              </w:rPr>
            </w:pPr>
            <w:r w:rsidRPr="00F514AB">
              <w:rPr>
                <w:rFonts w:eastAsia="Times New Roman" w:cs="Times New Roman"/>
                <w:b/>
                <w:bCs/>
                <w:color w:val="000000"/>
                <w:sz w:val="20"/>
                <w:szCs w:val="20"/>
                <w:lang w:val="en-US"/>
              </w:rPr>
              <w:t>2.5 %</w:t>
            </w:r>
          </w:p>
        </w:tc>
        <w:tc>
          <w:tcPr>
            <w:tcW w:w="850" w:type="dxa"/>
            <w:tcBorders>
              <w:top w:val="single" w:sz="8" w:space="0" w:color="auto"/>
              <w:left w:val="nil"/>
              <w:bottom w:val="nil"/>
              <w:right w:val="nil"/>
            </w:tcBorders>
            <w:shd w:val="clear" w:color="auto" w:fill="auto"/>
            <w:vAlign w:val="center"/>
            <w:hideMark/>
          </w:tcPr>
          <w:p w14:paraId="2171F7D1" w14:textId="77777777" w:rsidR="00BC7604" w:rsidRPr="00F514AB" w:rsidRDefault="00BC7604" w:rsidP="00575DCB">
            <w:pPr>
              <w:spacing w:after="0" w:line="240" w:lineRule="auto"/>
              <w:jc w:val="center"/>
              <w:rPr>
                <w:rFonts w:eastAsia="Times New Roman" w:cs="Times New Roman"/>
                <w:b/>
                <w:bCs/>
                <w:color w:val="000000"/>
                <w:sz w:val="20"/>
                <w:szCs w:val="20"/>
                <w:lang w:val="en-US"/>
              </w:rPr>
            </w:pPr>
            <w:r w:rsidRPr="00F514AB">
              <w:rPr>
                <w:rFonts w:eastAsia="Times New Roman" w:cs="Times New Roman"/>
                <w:b/>
                <w:bCs/>
                <w:color w:val="000000"/>
                <w:sz w:val="20"/>
                <w:szCs w:val="20"/>
                <w:lang w:val="en-US"/>
              </w:rPr>
              <w:t>97.5 %</w:t>
            </w:r>
          </w:p>
        </w:tc>
        <w:tc>
          <w:tcPr>
            <w:tcW w:w="872" w:type="dxa"/>
            <w:tcBorders>
              <w:top w:val="single" w:sz="8" w:space="0" w:color="auto"/>
              <w:left w:val="nil"/>
              <w:bottom w:val="nil"/>
              <w:right w:val="nil"/>
            </w:tcBorders>
            <w:shd w:val="clear" w:color="auto" w:fill="auto"/>
            <w:vAlign w:val="center"/>
            <w:hideMark/>
          </w:tcPr>
          <w:p w14:paraId="2C3CE3C5" w14:textId="77777777" w:rsidR="00BC7604" w:rsidRPr="00F514AB" w:rsidRDefault="00BC7604" w:rsidP="00575DCB">
            <w:pPr>
              <w:spacing w:after="0" w:line="240" w:lineRule="auto"/>
              <w:jc w:val="center"/>
              <w:rPr>
                <w:rFonts w:eastAsia="Times New Roman" w:cs="Times New Roman"/>
                <w:b/>
                <w:bCs/>
                <w:color w:val="000000"/>
                <w:sz w:val="20"/>
                <w:szCs w:val="20"/>
                <w:lang w:val="en-US"/>
              </w:rPr>
            </w:pPr>
            <w:r w:rsidRPr="00F514AB">
              <w:rPr>
                <w:rFonts w:eastAsia="Times New Roman" w:cs="Times New Roman"/>
                <w:b/>
                <w:bCs/>
                <w:color w:val="000000"/>
                <w:sz w:val="20"/>
                <w:szCs w:val="20"/>
              </w:rPr>
              <w:t>Decisão</w:t>
            </w:r>
          </w:p>
        </w:tc>
      </w:tr>
      <w:tr w:rsidR="00BC7604" w:rsidRPr="00F514AB" w14:paraId="510414FB" w14:textId="77777777" w:rsidTr="00575DCB">
        <w:trPr>
          <w:trHeight w:val="19"/>
        </w:trPr>
        <w:tc>
          <w:tcPr>
            <w:tcW w:w="1327" w:type="dxa"/>
            <w:tcBorders>
              <w:top w:val="nil"/>
              <w:left w:val="nil"/>
              <w:bottom w:val="nil"/>
              <w:right w:val="nil"/>
            </w:tcBorders>
            <w:shd w:val="clear" w:color="auto" w:fill="auto"/>
            <w:vAlign w:val="center"/>
            <w:hideMark/>
          </w:tcPr>
          <w:p w14:paraId="4D3FE523"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rPr>
              <w:t>Desempenho em Vendas</w:t>
            </w:r>
          </w:p>
        </w:tc>
        <w:tc>
          <w:tcPr>
            <w:tcW w:w="2778" w:type="dxa"/>
            <w:tcBorders>
              <w:top w:val="nil"/>
              <w:left w:val="nil"/>
              <w:bottom w:val="nil"/>
              <w:right w:val="nil"/>
            </w:tcBorders>
            <w:shd w:val="clear" w:color="auto" w:fill="auto"/>
            <w:vAlign w:val="center"/>
            <w:hideMark/>
          </w:tcPr>
          <w:p w14:paraId="27465552" w14:textId="77777777" w:rsidR="00BC7604" w:rsidRPr="00F514AB" w:rsidRDefault="00BC7604" w:rsidP="00575DCB">
            <w:pPr>
              <w:spacing w:after="0" w:line="240" w:lineRule="auto"/>
              <w:jc w:val="center"/>
              <w:rPr>
                <w:rFonts w:eastAsia="Times New Roman" w:cs="Times New Roman"/>
                <w:color w:val="000000"/>
                <w:sz w:val="20"/>
                <w:szCs w:val="20"/>
              </w:rPr>
            </w:pPr>
            <w:r w:rsidRPr="00F514AB">
              <w:rPr>
                <w:rFonts w:eastAsia="Times New Roman" w:cs="Times New Roman"/>
                <w:color w:val="000000"/>
                <w:sz w:val="20"/>
                <w:szCs w:val="20"/>
              </w:rPr>
              <w:t>H1: Desemprenho em Vendas possuí relação significante em Uso do ERP.</w:t>
            </w:r>
          </w:p>
        </w:tc>
        <w:tc>
          <w:tcPr>
            <w:tcW w:w="666" w:type="dxa"/>
            <w:tcBorders>
              <w:top w:val="nil"/>
              <w:left w:val="nil"/>
              <w:bottom w:val="nil"/>
              <w:right w:val="nil"/>
            </w:tcBorders>
            <w:shd w:val="clear" w:color="auto" w:fill="auto"/>
            <w:vAlign w:val="center"/>
            <w:hideMark/>
          </w:tcPr>
          <w:p w14:paraId="5043E9F4"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lang w:val="en-US"/>
              </w:rPr>
              <w:t>0.404</w:t>
            </w:r>
          </w:p>
        </w:tc>
        <w:tc>
          <w:tcPr>
            <w:tcW w:w="964" w:type="dxa"/>
            <w:tcBorders>
              <w:top w:val="nil"/>
              <w:left w:val="nil"/>
              <w:bottom w:val="nil"/>
              <w:right w:val="nil"/>
            </w:tcBorders>
            <w:shd w:val="clear" w:color="auto" w:fill="auto"/>
            <w:vAlign w:val="center"/>
            <w:hideMark/>
          </w:tcPr>
          <w:p w14:paraId="58731433"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lang w:val="en-US"/>
              </w:rPr>
              <w:t>8.718</w:t>
            </w:r>
          </w:p>
        </w:tc>
        <w:tc>
          <w:tcPr>
            <w:tcW w:w="964" w:type="dxa"/>
            <w:tcBorders>
              <w:top w:val="nil"/>
              <w:left w:val="nil"/>
              <w:bottom w:val="nil"/>
              <w:right w:val="nil"/>
            </w:tcBorders>
            <w:shd w:val="clear" w:color="auto" w:fill="auto"/>
            <w:vAlign w:val="center"/>
            <w:hideMark/>
          </w:tcPr>
          <w:p w14:paraId="51DACB35"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lang w:val="en-US"/>
              </w:rPr>
              <w:t>0.000</w:t>
            </w:r>
          </w:p>
        </w:tc>
        <w:tc>
          <w:tcPr>
            <w:tcW w:w="850" w:type="dxa"/>
            <w:tcBorders>
              <w:top w:val="single" w:sz="4" w:space="0" w:color="auto"/>
              <w:left w:val="nil"/>
              <w:bottom w:val="single" w:sz="4" w:space="0" w:color="auto"/>
              <w:right w:val="nil"/>
            </w:tcBorders>
            <w:shd w:val="clear" w:color="auto" w:fill="auto"/>
            <w:vAlign w:val="center"/>
            <w:hideMark/>
          </w:tcPr>
          <w:p w14:paraId="51B2928F"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lang w:val="en-US"/>
              </w:rPr>
              <w:t>0.313</w:t>
            </w:r>
          </w:p>
        </w:tc>
        <w:tc>
          <w:tcPr>
            <w:tcW w:w="850" w:type="dxa"/>
            <w:tcBorders>
              <w:top w:val="single" w:sz="4" w:space="0" w:color="auto"/>
              <w:left w:val="nil"/>
              <w:bottom w:val="single" w:sz="4" w:space="0" w:color="auto"/>
              <w:right w:val="nil"/>
            </w:tcBorders>
            <w:shd w:val="clear" w:color="auto" w:fill="auto"/>
            <w:vAlign w:val="center"/>
            <w:hideMark/>
          </w:tcPr>
          <w:p w14:paraId="4AAD5DC7"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lang w:val="en-US"/>
              </w:rPr>
              <w:t>0.496</w:t>
            </w:r>
          </w:p>
        </w:tc>
        <w:tc>
          <w:tcPr>
            <w:tcW w:w="872" w:type="dxa"/>
            <w:tcBorders>
              <w:top w:val="single" w:sz="4" w:space="0" w:color="auto"/>
              <w:left w:val="nil"/>
              <w:bottom w:val="single" w:sz="4" w:space="0" w:color="auto"/>
              <w:right w:val="nil"/>
            </w:tcBorders>
            <w:shd w:val="clear" w:color="auto" w:fill="auto"/>
            <w:vAlign w:val="center"/>
            <w:hideMark/>
          </w:tcPr>
          <w:p w14:paraId="77F36F5C"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rPr>
              <w:t>Aceitar</w:t>
            </w:r>
          </w:p>
        </w:tc>
      </w:tr>
      <w:tr w:rsidR="00BC7604" w:rsidRPr="00F514AB" w14:paraId="4FC8BC1B" w14:textId="77777777" w:rsidTr="00575DCB">
        <w:trPr>
          <w:trHeight w:val="19"/>
        </w:trPr>
        <w:tc>
          <w:tcPr>
            <w:tcW w:w="1327" w:type="dxa"/>
            <w:tcBorders>
              <w:top w:val="single" w:sz="4" w:space="0" w:color="auto"/>
              <w:left w:val="nil"/>
              <w:bottom w:val="single" w:sz="4" w:space="0" w:color="auto"/>
              <w:right w:val="nil"/>
            </w:tcBorders>
            <w:shd w:val="clear" w:color="auto" w:fill="auto"/>
            <w:vAlign w:val="center"/>
            <w:hideMark/>
          </w:tcPr>
          <w:p w14:paraId="24A5C511"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rPr>
              <w:t>Frequência de Uso</w:t>
            </w:r>
          </w:p>
        </w:tc>
        <w:tc>
          <w:tcPr>
            <w:tcW w:w="2778" w:type="dxa"/>
            <w:tcBorders>
              <w:top w:val="single" w:sz="4" w:space="0" w:color="auto"/>
              <w:left w:val="nil"/>
              <w:bottom w:val="single" w:sz="4" w:space="0" w:color="auto"/>
              <w:right w:val="nil"/>
            </w:tcBorders>
            <w:shd w:val="clear" w:color="auto" w:fill="auto"/>
            <w:vAlign w:val="center"/>
            <w:hideMark/>
          </w:tcPr>
          <w:p w14:paraId="0685D587" w14:textId="77777777" w:rsidR="00BC7604" w:rsidRPr="00F514AB" w:rsidRDefault="00BC7604" w:rsidP="00575DCB">
            <w:pPr>
              <w:spacing w:after="0" w:line="240" w:lineRule="auto"/>
              <w:jc w:val="center"/>
              <w:rPr>
                <w:rFonts w:eastAsia="Times New Roman" w:cs="Times New Roman"/>
                <w:color w:val="000000"/>
                <w:sz w:val="20"/>
                <w:szCs w:val="20"/>
              </w:rPr>
            </w:pPr>
            <w:r w:rsidRPr="00F514AB">
              <w:rPr>
                <w:rFonts w:eastAsia="Times New Roman" w:cs="Times New Roman"/>
                <w:color w:val="000000"/>
                <w:sz w:val="20"/>
                <w:szCs w:val="20"/>
              </w:rPr>
              <w:t>H2: Frequência de Uso possuí relação significante em Uso do ERP.</w:t>
            </w:r>
          </w:p>
        </w:tc>
        <w:tc>
          <w:tcPr>
            <w:tcW w:w="666" w:type="dxa"/>
            <w:tcBorders>
              <w:top w:val="single" w:sz="4" w:space="0" w:color="auto"/>
              <w:left w:val="nil"/>
              <w:bottom w:val="single" w:sz="4" w:space="0" w:color="auto"/>
              <w:right w:val="nil"/>
            </w:tcBorders>
            <w:shd w:val="clear" w:color="auto" w:fill="auto"/>
            <w:vAlign w:val="center"/>
            <w:hideMark/>
          </w:tcPr>
          <w:p w14:paraId="575D3FEF"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lang w:val="en-US"/>
              </w:rPr>
              <w:t>0.434</w:t>
            </w:r>
          </w:p>
        </w:tc>
        <w:tc>
          <w:tcPr>
            <w:tcW w:w="964" w:type="dxa"/>
            <w:tcBorders>
              <w:top w:val="single" w:sz="4" w:space="0" w:color="auto"/>
              <w:left w:val="nil"/>
              <w:bottom w:val="single" w:sz="4" w:space="0" w:color="auto"/>
              <w:right w:val="nil"/>
            </w:tcBorders>
            <w:shd w:val="clear" w:color="auto" w:fill="auto"/>
            <w:vAlign w:val="center"/>
            <w:hideMark/>
          </w:tcPr>
          <w:p w14:paraId="2F6A8DE4"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lang w:val="en-US"/>
              </w:rPr>
              <w:t>9.304</w:t>
            </w:r>
          </w:p>
        </w:tc>
        <w:tc>
          <w:tcPr>
            <w:tcW w:w="964" w:type="dxa"/>
            <w:tcBorders>
              <w:top w:val="single" w:sz="4" w:space="0" w:color="auto"/>
              <w:left w:val="nil"/>
              <w:bottom w:val="single" w:sz="4" w:space="0" w:color="auto"/>
              <w:right w:val="nil"/>
            </w:tcBorders>
            <w:shd w:val="clear" w:color="auto" w:fill="auto"/>
            <w:vAlign w:val="center"/>
            <w:hideMark/>
          </w:tcPr>
          <w:p w14:paraId="25D2240B"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lang w:val="en-US"/>
              </w:rPr>
              <w:t>0.000</w:t>
            </w:r>
          </w:p>
        </w:tc>
        <w:tc>
          <w:tcPr>
            <w:tcW w:w="850" w:type="dxa"/>
            <w:tcBorders>
              <w:top w:val="nil"/>
              <w:left w:val="nil"/>
              <w:bottom w:val="single" w:sz="4" w:space="0" w:color="auto"/>
              <w:right w:val="nil"/>
            </w:tcBorders>
            <w:shd w:val="clear" w:color="auto" w:fill="auto"/>
            <w:vAlign w:val="center"/>
            <w:hideMark/>
          </w:tcPr>
          <w:p w14:paraId="09BD8707"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lang w:val="en-US"/>
              </w:rPr>
              <w:t>0.296</w:t>
            </w:r>
          </w:p>
        </w:tc>
        <w:tc>
          <w:tcPr>
            <w:tcW w:w="850" w:type="dxa"/>
            <w:tcBorders>
              <w:top w:val="nil"/>
              <w:left w:val="nil"/>
              <w:bottom w:val="single" w:sz="4" w:space="0" w:color="auto"/>
              <w:right w:val="nil"/>
            </w:tcBorders>
            <w:shd w:val="clear" w:color="auto" w:fill="auto"/>
            <w:vAlign w:val="center"/>
            <w:hideMark/>
          </w:tcPr>
          <w:p w14:paraId="46F1C087"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lang w:val="en-US"/>
              </w:rPr>
              <w:t>0.455</w:t>
            </w:r>
          </w:p>
        </w:tc>
        <w:tc>
          <w:tcPr>
            <w:tcW w:w="872" w:type="dxa"/>
            <w:tcBorders>
              <w:top w:val="nil"/>
              <w:left w:val="nil"/>
              <w:bottom w:val="single" w:sz="4" w:space="0" w:color="auto"/>
              <w:right w:val="nil"/>
            </w:tcBorders>
            <w:shd w:val="clear" w:color="auto" w:fill="auto"/>
            <w:vAlign w:val="center"/>
            <w:hideMark/>
          </w:tcPr>
          <w:p w14:paraId="4373E298"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rPr>
              <w:t>Aceitar</w:t>
            </w:r>
          </w:p>
        </w:tc>
      </w:tr>
      <w:tr w:rsidR="00BC7604" w:rsidRPr="00F514AB" w14:paraId="74228165" w14:textId="77777777" w:rsidTr="00575DCB">
        <w:trPr>
          <w:trHeight w:val="19"/>
        </w:trPr>
        <w:tc>
          <w:tcPr>
            <w:tcW w:w="1327" w:type="dxa"/>
            <w:tcBorders>
              <w:top w:val="nil"/>
              <w:left w:val="nil"/>
              <w:bottom w:val="single" w:sz="4" w:space="0" w:color="auto"/>
              <w:right w:val="nil"/>
            </w:tcBorders>
            <w:shd w:val="clear" w:color="auto" w:fill="auto"/>
            <w:vAlign w:val="center"/>
            <w:hideMark/>
          </w:tcPr>
          <w:p w14:paraId="62E53E4F"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rPr>
              <w:t>Tempo de Uso</w:t>
            </w:r>
          </w:p>
        </w:tc>
        <w:tc>
          <w:tcPr>
            <w:tcW w:w="2778" w:type="dxa"/>
            <w:tcBorders>
              <w:top w:val="nil"/>
              <w:left w:val="nil"/>
              <w:bottom w:val="single" w:sz="4" w:space="0" w:color="auto"/>
              <w:right w:val="nil"/>
            </w:tcBorders>
            <w:shd w:val="clear" w:color="auto" w:fill="auto"/>
            <w:vAlign w:val="center"/>
            <w:hideMark/>
          </w:tcPr>
          <w:p w14:paraId="0F944920" w14:textId="77777777" w:rsidR="00BC7604" w:rsidRPr="00F514AB" w:rsidRDefault="00BC7604" w:rsidP="00575DCB">
            <w:pPr>
              <w:spacing w:after="0" w:line="240" w:lineRule="auto"/>
              <w:jc w:val="center"/>
              <w:rPr>
                <w:rFonts w:eastAsia="Times New Roman" w:cs="Times New Roman"/>
                <w:color w:val="000000"/>
                <w:sz w:val="20"/>
                <w:szCs w:val="20"/>
              </w:rPr>
            </w:pPr>
            <w:r w:rsidRPr="00F514AB">
              <w:rPr>
                <w:rFonts w:eastAsia="Times New Roman" w:cs="Times New Roman"/>
                <w:color w:val="000000"/>
                <w:sz w:val="20"/>
                <w:szCs w:val="20"/>
              </w:rPr>
              <w:t>H3:  Tempo de Uso possuí relação significante em Uso do ERP.</w:t>
            </w:r>
          </w:p>
        </w:tc>
        <w:tc>
          <w:tcPr>
            <w:tcW w:w="666" w:type="dxa"/>
            <w:tcBorders>
              <w:top w:val="nil"/>
              <w:left w:val="nil"/>
              <w:bottom w:val="single" w:sz="4" w:space="0" w:color="auto"/>
              <w:right w:val="nil"/>
            </w:tcBorders>
            <w:shd w:val="clear" w:color="auto" w:fill="auto"/>
            <w:vAlign w:val="center"/>
            <w:hideMark/>
          </w:tcPr>
          <w:p w14:paraId="46C5FDBB"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lang w:val="en-US"/>
              </w:rPr>
              <w:t>0.138</w:t>
            </w:r>
          </w:p>
        </w:tc>
        <w:tc>
          <w:tcPr>
            <w:tcW w:w="964" w:type="dxa"/>
            <w:tcBorders>
              <w:top w:val="nil"/>
              <w:left w:val="nil"/>
              <w:bottom w:val="single" w:sz="4" w:space="0" w:color="auto"/>
              <w:right w:val="nil"/>
            </w:tcBorders>
            <w:shd w:val="clear" w:color="auto" w:fill="auto"/>
            <w:vAlign w:val="center"/>
            <w:hideMark/>
          </w:tcPr>
          <w:p w14:paraId="34A3D61C"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lang w:val="en-US"/>
              </w:rPr>
              <w:t>2.546</w:t>
            </w:r>
          </w:p>
        </w:tc>
        <w:tc>
          <w:tcPr>
            <w:tcW w:w="964" w:type="dxa"/>
            <w:tcBorders>
              <w:top w:val="nil"/>
              <w:left w:val="nil"/>
              <w:bottom w:val="single" w:sz="4" w:space="0" w:color="auto"/>
              <w:right w:val="nil"/>
            </w:tcBorders>
            <w:shd w:val="clear" w:color="auto" w:fill="auto"/>
            <w:vAlign w:val="center"/>
            <w:hideMark/>
          </w:tcPr>
          <w:p w14:paraId="0C59CE96"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lang w:val="en-US"/>
              </w:rPr>
              <w:t>0.012</w:t>
            </w:r>
          </w:p>
        </w:tc>
        <w:tc>
          <w:tcPr>
            <w:tcW w:w="850" w:type="dxa"/>
            <w:tcBorders>
              <w:top w:val="nil"/>
              <w:left w:val="nil"/>
              <w:bottom w:val="single" w:sz="4" w:space="0" w:color="auto"/>
              <w:right w:val="nil"/>
            </w:tcBorders>
            <w:shd w:val="clear" w:color="auto" w:fill="auto"/>
            <w:vAlign w:val="center"/>
            <w:hideMark/>
          </w:tcPr>
          <w:p w14:paraId="6C56FEDF"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lang w:val="en-US"/>
              </w:rPr>
              <w:t>0.028</w:t>
            </w:r>
          </w:p>
        </w:tc>
        <w:tc>
          <w:tcPr>
            <w:tcW w:w="850" w:type="dxa"/>
            <w:tcBorders>
              <w:top w:val="nil"/>
              <w:left w:val="nil"/>
              <w:bottom w:val="single" w:sz="4" w:space="0" w:color="auto"/>
              <w:right w:val="nil"/>
            </w:tcBorders>
            <w:shd w:val="clear" w:color="auto" w:fill="auto"/>
            <w:vAlign w:val="center"/>
            <w:hideMark/>
          </w:tcPr>
          <w:p w14:paraId="607C9B8F"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lang w:val="en-US"/>
              </w:rPr>
              <w:t>0.217</w:t>
            </w:r>
          </w:p>
        </w:tc>
        <w:tc>
          <w:tcPr>
            <w:tcW w:w="872" w:type="dxa"/>
            <w:tcBorders>
              <w:top w:val="nil"/>
              <w:left w:val="nil"/>
              <w:bottom w:val="nil"/>
              <w:right w:val="nil"/>
            </w:tcBorders>
            <w:shd w:val="clear" w:color="auto" w:fill="auto"/>
            <w:vAlign w:val="center"/>
            <w:hideMark/>
          </w:tcPr>
          <w:p w14:paraId="2768A22E"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rPr>
              <w:t>Aceitar</w:t>
            </w:r>
          </w:p>
        </w:tc>
      </w:tr>
      <w:tr w:rsidR="00BC7604" w:rsidRPr="00F514AB" w14:paraId="483C27B3" w14:textId="77777777" w:rsidTr="00575DCB">
        <w:trPr>
          <w:trHeight w:val="19"/>
        </w:trPr>
        <w:tc>
          <w:tcPr>
            <w:tcW w:w="1327" w:type="dxa"/>
            <w:tcBorders>
              <w:top w:val="nil"/>
              <w:left w:val="nil"/>
              <w:bottom w:val="single" w:sz="4" w:space="0" w:color="auto"/>
              <w:right w:val="nil"/>
            </w:tcBorders>
            <w:shd w:val="clear" w:color="auto" w:fill="auto"/>
            <w:vAlign w:val="center"/>
            <w:hideMark/>
          </w:tcPr>
          <w:p w14:paraId="6ACAF2DB"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rPr>
              <w:t>Condições Facilitadoras </w:t>
            </w:r>
          </w:p>
        </w:tc>
        <w:tc>
          <w:tcPr>
            <w:tcW w:w="2778" w:type="dxa"/>
            <w:tcBorders>
              <w:top w:val="nil"/>
              <w:left w:val="nil"/>
              <w:bottom w:val="single" w:sz="4" w:space="0" w:color="auto"/>
              <w:right w:val="nil"/>
            </w:tcBorders>
            <w:shd w:val="clear" w:color="auto" w:fill="auto"/>
            <w:vAlign w:val="center"/>
            <w:hideMark/>
          </w:tcPr>
          <w:p w14:paraId="06D39C72" w14:textId="77777777" w:rsidR="00BC7604" w:rsidRPr="00F514AB" w:rsidRDefault="00BC7604" w:rsidP="00575DCB">
            <w:pPr>
              <w:spacing w:after="0" w:line="240" w:lineRule="auto"/>
              <w:jc w:val="center"/>
              <w:rPr>
                <w:rFonts w:eastAsia="Times New Roman" w:cs="Times New Roman"/>
                <w:color w:val="000000"/>
                <w:sz w:val="20"/>
                <w:szCs w:val="20"/>
              </w:rPr>
            </w:pPr>
            <w:r w:rsidRPr="00F514AB">
              <w:rPr>
                <w:rFonts w:eastAsia="Times New Roman" w:cs="Times New Roman"/>
                <w:color w:val="000000"/>
                <w:sz w:val="20"/>
                <w:szCs w:val="20"/>
              </w:rPr>
              <w:t>H4: Condições Facilitadoras possuí relação significante em Uso do ERP.</w:t>
            </w:r>
          </w:p>
        </w:tc>
        <w:tc>
          <w:tcPr>
            <w:tcW w:w="666" w:type="dxa"/>
            <w:tcBorders>
              <w:top w:val="nil"/>
              <w:left w:val="nil"/>
              <w:bottom w:val="single" w:sz="4" w:space="0" w:color="auto"/>
              <w:right w:val="nil"/>
            </w:tcBorders>
            <w:shd w:val="clear" w:color="auto" w:fill="auto"/>
            <w:vAlign w:val="center"/>
            <w:hideMark/>
          </w:tcPr>
          <w:p w14:paraId="7F256FA4"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lang w:val="en-US"/>
              </w:rPr>
              <w:t>0.066</w:t>
            </w:r>
          </w:p>
        </w:tc>
        <w:tc>
          <w:tcPr>
            <w:tcW w:w="964" w:type="dxa"/>
            <w:tcBorders>
              <w:top w:val="nil"/>
              <w:left w:val="nil"/>
              <w:bottom w:val="single" w:sz="4" w:space="0" w:color="auto"/>
              <w:right w:val="nil"/>
            </w:tcBorders>
            <w:shd w:val="clear" w:color="auto" w:fill="auto"/>
            <w:vAlign w:val="center"/>
            <w:hideMark/>
          </w:tcPr>
          <w:p w14:paraId="5A38E98D"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lang w:val="en-US"/>
              </w:rPr>
              <w:t>1.157</w:t>
            </w:r>
          </w:p>
        </w:tc>
        <w:tc>
          <w:tcPr>
            <w:tcW w:w="964" w:type="dxa"/>
            <w:tcBorders>
              <w:top w:val="nil"/>
              <w:left w:val="nil"/>
              <w:bottom w:val="single" w:sz="4" w:space="0" w:color="auto"/>
              <w:right w:val="nil"/>
            </w:tcBorders>
            <w:shd w:val="clear" w:color="auto" w:fill="auto"/>
            <w:vAlign w:val="center"/>
            <w:hideMark/>
          </w:tcPr>
          <w:p w14:paraId="5464B38B"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lang w:val="en-US"/>
              </w:rPr>
              <w:t>0.249</w:t>
            </w:r>
          </w:p>
        </w:tc>
        <w:tc>
          <w:tcPr>
            <w:tcW w:w="850" w:type="dxa"/>
            <w:tcBorders>
              <w:top w:val="nil"/>
              <w:left w:val="nil"/>
              <w:bottom w:val="single" w:sz="4" w:space="0" w:color="auto"/>
              <w:right w:val="nil"/>
            </w:tcBorders>
            <w:shd w:val="clear" w:color="auto" w:fill="auto"/>
            <w:vAlign w:val="center"/>
            <w:hideMark/>
          </w:tcPr>
          <w:p w14:paraId="3648B5DC"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lang w:val="en-US"/>
              </w:rPr>
              <w:t>-0.043</w:t>
            </w:r>
          </w:p>
        </w:tc>
        <w:tc>
          <w:tcPr>
            <w:tcW w:w="850" w:type="dxa"/>
            <w:tcBorders>
              <w:top w:val="nil"/>
              <w:left w:val="nil"/>
              <w:bottom w:val="single" w:sz="4" w:space="0" w:color="auto"/>
              <w:right w:val="nil"/>
            </w:tcBorders>
            <w:shd w:val="clear" w:color="auto" w:fill="auto"/>
            <w:vAlign w:val="center"/>
            <w:hideMark/>
          </w:tcPr>
          <w:p w14:paraId="1E759503"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lang w:val="en-US"/>
              </w:rPr>
              <w:t>0.164</w:t>
            </w:r>
          </w:p>
        </w:tc>
        <w:tc>
          <w:tcPr>
            <w:tcW w:w="872" w:type="dxa"/>
            <w:tcBorders>
              <w:top w:val="single" w:sz="4" w:space="0" w:color="auto"/>
              <w:left w:val="nil"/>
              <w:bottom w:val="single" w:sz="4" w:space="0" w:color="auto"/>
              <w:right w:val="nil"/>
            </w:tcBorders>
            <w:shd w:val="clear" w:color="auto" w:fill="auto"/>
            <w:vAlign w:val="center"/>
            <w:hideMark/>
          </w:tcPr>
          <w:p w14:paraId="1FE250A2" w14:textId="77777777" w:rsidR="00BC7604" w:rsidRPr="00F514AB" w:rsidRDefault="00BC7604" w:rsidP="00575DCB">
            <w:pPr>
              <w:spacing w:after="0" w:line="240" w:lineRule="auto"/>
              <w:jc w:val="center"/>
              <w:rPr>
                <w:rFonts w:eastAsia="Times New Roman" w:cs="Times New Roman"/>
                <w:color w:val="000000"/>
                <w:sz w:val="20"/>
                <w:szCs w:val="20"/>
                <w:lang w:val="en-US"/>
              </w:rPr>
            </w:pPr>
            <w:r w:rsidRPr="00F514AB">
              <w:rPr>
                <w:rFonts w:eastAsia="Times New Roman" w:cs="Times New Roman"/>
                <w:color w:val="000000"/>
                <w:sz w:val="20"/>
                <w:szCs w:val="20"/>
              </w:rPr>
              <w:t>Rejeitar</w:t>
            </w:r>
          </w:p>
        </w:tc>
      </w:tr>
    </w:tbl>
    <w:p w14:paraId="46CBD77E" w14:textId="77777777" w:rsidR="00BC7604" w:rsidRPr="00627457" w:rsidRDefault="00BC7604" w:rsidP="00BC7604">
      <w:pPr>
        <w:spacing w:after="0" w:line="360" w:lineRule="auto"/>
        <w:jc w:val="both"/>
        <w:rPr>
          <w:rFonts w:eastAsia="Times New Roman" w:cs="Times New Roman"/>
          <w:sz w:val="20"/>
          <w:szCs w:val="20"/>
        </w:rPr>
      </w:pPr>
      <w:r w:rsidRPr="00627457">
        <w:rPr>
          <w:rFonts w:eastAsia="Times New Roman" w:cs="Times New Roman"/>
          <w:sz w:val="20"/>
          <w:szCs w:val="20"/>
        </w:rPr>
        <w:t>Fonte: Autor (202</w:t>
      </w:r>
      <w:r>
        <w:rPr>
          <w:rFonts w:eastAsia="Times New Roman" w:cs="Times New Roman"/>
          <w:sz w:val="20"/>
          <w:szCs w:val="20"/>
        </w:rPr>
        <w:t>4</w:t>
      </w:r>
      <w:r w:rsidRPr="00627457">
        <w:rPr>
          <w:rFonts w:eastAsia="Times New Roman" w:cs="Times New Roman"/>
          <w:sz w:val="20"/>
          <w:szCs w:val="20"/>
        </w:rPr>
        <w:t>).</w:t>
      </w:r>
    </w:p>
    <w:p w14:paraId="1516D1F8" w14:textId="77777777" w:rsidR="00BC7604" w:rsidRPr="00C27487" w:rsidRDefault="00BC7604" w:rsidP="00BC7604">
      <w:pPr>
        <w:spacing w:after="0" w:line="360" w:lineRule="auto"/>
        <w:jc w:val="both"/>
        <w:rPr>
          <w:rFonts w:cs="Times New Roman"/>
        </w:rPr>
      </w:pPr>
    </w:p>
    <w:p w14:paraId="2781DEBA" w14:textId="77777777" w:rsidR="00BC7604" w:rsidRPr="000A7EA3" w:rsidRDefault="00BC7604" w:rsidP="00BC7604">
      <w:pPr>
        <w:spacing w:after="0" w:line="360" w:lineRule="auto"/>
        <w:ind w:firstLine="708"/>
        <w:jc w:val="both"/>
        <w:rPr>
          <w:rFonts w:cs="Times New Roman"/>
        </w:rPr>
      </w:pPr>
      <w:r>
        <w:rPr>
          <w:rFonts w:cs="Times New Roman"/>
        </w:rPr>
        <w:t xml:space="preserve">De acordo com a tabela 3, sobre o </w:t>
      </w:r>
      <w:r w:rsidRPr="00887418">
        <w:rPr>
          <w:rFonts w:cs="Times New Roman"/>
        </w:rPr>
        <w:t xml:space="preserve">Desempenho em Vendas </w:t>
      </w:r>
      <w:r w:rsidRPr="000A7EA3">
        <w:rPr>
          <w:rFonts w:cs="Times New Roman"/>
        </w:rPr>
        <w:t xml:space="preserve">(H1): Em relação à interpretação dos parâmetros, é possível afirmar que o ERP é responsável por </w:t>
      </w:r>
      <w:r>
        <w:rPr>
          <w:rFonts w:cs="Times New Roman"/>
        </w:rPr>
        <w:t>ajudar a organização</w:t>
      </w:r>
      <w:r w:rsidRPr="000A7EA3">
        <w:rPr>
          <w:rFonts w:cs="Times New Roman"/>
        </w:rPr>
        <w:t xml:space="preserve"> no desempenho de suas atividades no trabalho também possui maiores níveis de probabilidade subjetiva de continuar utilizando esta tecnologia. Apresentando evidência concernentes com a confirmação da hipótese H1. De acordo com as revisões da literatura já publicadas sobre o UTAUT </w:t>
      </w:r>
      <w:r w:rsidRPr="000A7EA3">
        <w:rPr>
          <w:rFonts w:cs="Times New Roman"/>
        </w:rPr>
        <w:fldChar w:fldCharType="begin" w:fldLock="1"/>
      </w:r>
      <w:r w:rsidRPr="000A7EA3">
        <w:rPr>
          <w:rFonts w:cs="Times New Roman"/>
        </w:rPr>
        <w:instrText>ADDIN CSL_CITATION {"citationItems":[{"id":"ITEM-1","itemData":{"DOI":"10.21512/tw.v13i2.656","ISSN":"2541-2388","abstract":"This study reviews the most recent literature on UTAUT (Unified Theory of Acceptance, and Use of Technology) and UTAUT 2(Unified Theory of Acceptance, and Use of Technology) 2 by focusing on the findings and recommended future research. The papers, proceedings and dissertations included in the analysis were identified technology acceptance as the focus of their studies. This search was supplemented various websites which host scientific journals such as Emerald, Science Direct and Google Scholar. The initial search produced 65 papers. The studies examined works which employed UTAUT and UTAUT 2 by focusing on findings on the core constructs of UTAUT to predict Behavioral Intentions. The results confirmed previous studies that the four constructs of UTAUT contributed to Behavioral Intention even though PE seemed to be the most significant contributors. Findings also suggest UTAUT 2 has been more explanatory and list the suggestions for future works. The immediate implications are for researchers who wish to examine behavioral intentions, and managers who wish to ensure the acceptance and use of a new system or technology. This study bears a number of limitations. Number of papers examined is one of them. It would be more accurate to increase the number of paper examined. The other limitation is the ability to draw a statistical conclusion each research examined. This is due to a great variety of research topics, methods, constructs and contexts.","author":[{"dropping-particle":"","family":"Chang","given":"Andreas","non-dropping-particle":"","parse-names":false,"suffix":""}],"container-title":"The Winners","id":"ITEM-1","issue":"2","issued":{"date-parts":[["2012","9","28"]]},"page":"10","publisher":"Universitas Bina Nusantara","title":"UTAUT and UTAUT 2: A Review and Agenda for Future Research","type":"article-journal","volume":"13"},"uris":["http://www.mendeley.com/documents/?uuid=62fefeda-7a7b-3d7c-9048-c9686043ae42"]},{"id":"ITEM-2","itemData":{"DOI":"10.1108/JEIM-09-2014-0088","ISSN":"1741-0398","abstract":"Purpose-The purpose of this paper is to perform a systematic review of articles that have used the unified theory of acceptance and use of technology (UTAUT). Design/methodology/approach-The results produced in this research are based on the literature analysis of 174 existing articles on the UTAUT model. This has been performed by collecting data including demographic details, methodological details, limitations, and significance of relationships between the constructs from the available articles based on the UTAUT. Findings-The findings indicated that general purpose systems and specialized business systems were examined in the majority of the articles using the UTAUT. The analysis also indicated that cross-sectional approach, survey methods, and structural equation modelling analysis techniques were the most explored research methodologies whereas SPSS was found to be the largely used analysis tools. Moreover, the weight analysis of independent variables indicates that variables such as performance expectancy and behavioural intention qualified for the best predictor category. Moreover, the analysis also suggested that single subject or biased sample as the most explored limitation across all studies. Research limitations/implications-The search activities were centered on occurrences of keywords to avoid tracing a large number of publications where these keywords might have been used as casual words in the main text. However, we acknowledge that there may be a number of studies, which lack keywords in the title, but still focus upon UTAUT in some form. Originality/value-This is the first research of its type which has extensively examined the literature on the UTAUT and provided the researchers with the accumulative knowledge about the model.","author":[{"dropping-particle":"","family":"Williams","given":"Michael D","non-dropping-particle":"","parse-names":false,"suffix":""},{"dropping-particle":"","family":"Rana","given":"Nripendra P","non-dropping-particle":"","parse-names":false,"suffix":""},{"dropping-particle":"","family":"Dwivedi","given":"Yogesh K","non-dropping-particle":"","parse-names":false,"suffix":""}],"container-title":"Journal of Enterprise Information Management","id":"ITEM-2","issue":"3","issued":{"date-parts":[["2015","4","13"]]},"page":"443-488","title":"The unified theory of acceptance and use of technology (UTAUT): a literature review","type":"article-journal","volume":"28"},"uris":["http://www.mendeley.com/documents/?uuid=d14053a0-ce08-3bac-9a96-959c50f18485"]}],"mendeley":{"formattedCitation":"(CHANG, 2012; WILLIAMS; RANA; DWIVEDI, 2015)","plainTextFormattedCitation":"(CHANG, 2012; WILLIAMS; RANA; DWIVEDI, 2015)","previouslyFormattedCitation":"(CHANG, 2012; WILLIAMS; RANA; DWIVEDI, 2015)"},"properties":{"noteIndex":0},"schema":"https://github.com/citation-style-language/schema/raw/master/csl-citation.json"}</w:instrText>
      </w:r>
      <w:r w:rsidRPr="000A7EA3">
        <w:rPr>
          <w:rFonts w:cs="Times New Roman"/>
        </w:rPr>
        <w:fldChar w:fldCharType="separate"/>
      </w:r>
      <w:r w:rsidRPr="000A7EA3">
        <w:rPr>
          <w:rFonts w:cs="Times New Roman"/>
        </w:rPr>
        <w:t>(CHANG, 2012; WILLIAMS; RANA; DWIVEDI, 2015)</w:t>
      </w:r>
      <w:r w:rsidRPr="000A7EA3">
        <w:rPr>
          <w:rFonts w:cs="Times New Roman"/>
        </w:rPr>
        <w:fldChar w:fldCharType="end"/>
      </w:r>
      <w:r w:rsidRPr="000A7EA3">
        <w:rPr>
          <w:rFonts w:cs="Times New Roman"/>
        </w:rPr>
        <w:t xml:space="preserve">, a variável de Desempenho é uma das responsáveis por explicar maior parte da Intenção Comportamental. Então, os resultados são consistentes com a rede </w:t>
      </w:r>
      <w:proofErr w:type="spellStart"/>
      <w:r w:rsidRPr="000A7EA3">
        <w:rPr>
          <w:rFonts w:cs="Times New Roman"/>
        </w:rPr>
        <w:t>nomológica</w:t>
      </w:r>
      <w:proofErr w:type="spellEnd"/>
      <w:r w:rsidRPr="000A7EA3">
        <w:rPr>
          <w:rFonts w:cs="Times New Roman"/>
        </w:rPr>
        <w:t xml:space="preserve"> do UTAUT.</w:t>
      </w:r>
    </w:p>
    <w:p w14:paraId="3C4A51EC" w14:textId="77777777" w:rsidR="00BC7604" w:rsidRPr="000A7EA3" w:rsidRDefault="00BC7604" w:rsidP="00BC7604">
      <w:pPr>
        <w:spacing w:after="0" w:line="360" w:lineRule="auto"/>
        <w:ind w:firstLine="708"/>
        <w:jc w:val="both"/>
        <w:rPr>
          <w:rFonts w:cs="Times New Roman"/>
        </w:rPr>
      </w:pPr>
      <w:r w:rsidRPr="000A7EA3">
        <w:rPr>
          <w:rFonts w:cs="Times New Roman"/>
        </w:rPr>
        <w:t xml:space="preserve">Em relação à </w:t>
      </w:r>
      <w:r w:rsidRPr="00887418">
        <w:rPr>
          <w:rFonts w:cs="Times New Roman"/>
        </w:rPr>
        <w:t xml:space="preserve">Frequência de Uso </w:t>
      </w:r>
      <w:r w:rsidRPr="000A7EA3">
        <w:rPr>
          <w:rFonts w:cs="Times New Roman"/>
        </w:rPr>
        <w:t xml:space="preserve">(H2), </w:t>
      </w:r>
      <w:r>
        <w:rPr>
          <w:rFonts w:cs="Times New Roman"/>
        </w:rPr>
        <w:t>a organização indica</w:t>
      </w:r>
      <w:r w:rsidRPr="000A7EA3">
        <w:rPr>
          <w:rFonts w:cs="Times New Roman"/>
        </w:rPr>
        <w:t xml:space="preserve"> que o ERP é mais fácil de utilizar, </w:t>
      </w:r>
      <w:r>
        <w:rPr>
          <w:rFonts w:cs="Times New Roman"/>
        </w:rPr>
        <w:t>e utilizado frequentemente</w:t>
      </w:r>
      <w:r w:rsidRPr="000A7EA3">
        <w:rPr>
          <w:rFonts w:cs="Times New Roman"/>
        </w:rPr>
        <w:t xml:space="preserve"> implica em maiores níveis de probabilidade subjetiva em continuar utilizando esta tecnologia. Apresentando evidência para a confirmação da hipótese H2.</w:t>
      </w:r>
    </w:p>
    <w:p w14:paraId="0A35A819" w14:textId="77777777" w:rsidR="00BC7604" w:rsidRPr="000A7EA3" w:rsidRDefault="00BC7604" w:rsidP="00BC7604">
      <w:pPr>
        <w:spacing w:after="0" w:line="360" w:lineRule="auto"/>
        <w:ind w:firstLine="708"/>
        <w:jc w:val="both"/>
        <w:rPr>
          <w:rFonts w:cs="Times New Roman"/>
        </w:rPr>
      </w:pPr>
      <w:r w:rsidRPr="000A7EA3">
        <w:rPr>
          <w:rFonts w:cs="Times New Roman"/>
        </w:rPr>
        <w:t xml:space="preserve">Já em relação </w:t>
      </w:r>
      <w:r>
        <w:rPr>
          <w:rFonts w:cs="Times New Roman"/>
        </w:rPr>
        <w:t>ao</w:t>
      </w:r>
      <w:r w:rsidRPr="000A7EA3">
        <w:rPr>
          <w:rFonts w:cs="Times New Roman"/>
        </w:rPr>
        <w:t xml:space="preserve"> </w:t>
      </w:r>
      <w:r w:rsidRPr="00887418">
        <w:rPr>
          <w:rFonts w:cs="Times New Roman"/>
        </w:rPr>
        <w:t xml:space="preserve">Tempo de Uso </w:t>
      </w:r>
      <w:r w:rsidRPr="000A7EA3">
        <w:rPr>
          <w:rFonts w:cs="Times New Roman"/>
        </w:rPr>
        <w:t xml:space="preserve">(H3), é possível afirmar que existem evidências para confirmar H3. Assumindo que </w:t>
      </w:r>
      <w:r>
        <w:rPr>
          <w:rFonts w:cs="Times New Roman"/>
        </w:rPr>
        <w:t>quanto maior o tempo de uso do ERP, mais os usuários poderão se beneficiar dessa ferramenta e de tal maneira que haja uma melhora no desempenho da organização. O</w:t>
      </w:r>
      <w:r w:rsidRPr="000A7EA3">
        <w:rPr>
          <w:rFonts w:cs="Times New Roman"/>
        </w:rPr>
        <w:t xml:space="preserve"> ERP possu</w:t>
      </w:r>
      <w:r>
        <w:rPr>
          <w:rFonts w:cs="Times New Roman"/>
        </w:rPr>
        <w:t xml:space="preserve">i </w:t>
      </w:r>
      <w:r w:rsidRPr="000A7EA3">
        <w:rPr>
          <w:rFonts w:cs="Times New Roman"/>
        </w:rPr>
        <w:t>um papel fundamental para que tenham maior prontidão de continuar utilizando a tecnologia.</w:t>
      </w:r>
    </w:p>
    <w:p w14:paraId="477E86FF" w14:textId="1591E8D3" w:rsidR="00BC7604" w:rsidRPr="000A7EA3" w:rsidRDefault="00BC7604" w:rsidP="00BC7604">
      <w:pPr>
        <w:spacing w:after="0" w:line="360" w:lineRule="auto"/>
        <w:ind w:firstLine="708"/>
        <w:jc w:val="both"/>
        <w:rPr>
          <w:rFonts w:cs="Times New Roman"/>
        </w:rPr>
      </w:pPr>
      <w:r w:rsidRPr="000A7EA3">
        <w:rPr>
          <w:rFonts w:cs="Times New Roman"/>
        </w:rPr>
        <w:t xml:space="preserve">Para </w:t>
      </w:r>
      <w:r>
        <w:rPr>
          <w:rFonts w:cs="Times New Roman"/>
        </w:rPr>
        <w:t>a</w:t>
      </w:r>
      <w:r w:rsidRPr="000A7EA3">
        <w:rPr>
          <w:rFonts w:cs="Times New Roman"/>
        </w:rPr>
        <w:t xml:space="preserve"> hipótese delineada para a variável de Condições Facilitadores (H4)</w:t>
      </w:r>
      <w:r w:rsidR="00634674">
        <w:rPr>
          <w:rFonts w:cs="Times New Roman"/>
        </w:rPr>
        <w:t>,</w:t>
      </w:r>
      <w:r w:rsidRPr="000A7EA3">
        <w:rPr>
          <w:rFonts w:cs="Times New Roman"/>
        </w:rPr>
        <w:t xml:space="preserve"> é possível afirmar que para este caso, em especial, é possível concluir que a percepção de suporte organizacional e técnico da infraestrutura tecnológica não influencia na prontidão de continuar utilizando o ERP</w:t>
      </w:r>
      <w:r>
        <w:rPr>
          <w:rFonts w:cs="Times New Roman"/>
        </w:rPr>
        <w:t>.</w:t>
      </w:r>
    </w:p>
    <w:p w14:paraId="5C0DBC27" w14:textId="77777777" w:rsidR="00BC7604" w:rsidRPr="000A7EA3" w:rsidRDefault="00BC7604" w:rsidP="00BC7604">
      <w:pPr>
        <w:spacing w:after="0" w:line="360" w:lineRule="auto"/>
        <w:ind w:firstLine="708"/>
        <w:jc w:val="both"/>
        <w:rPr>
          <w:rFonts w:cs="Times New Roman"/>
        </w:rPr>
      </w:pPr>
      <w:r w:rsidRPr="000A7EA3">
        <w:rPr>
          <w:rFonts w:cs="Times New Roman"/>
        </w:rPr>
        <w:lastRenderedPageBreak/>
        <w:t>E</w:t>
      </w:r>
      <w:r>
        <w:rPr>
          <w:rFonts w:cs="Times New Roman"/>
        </w:rPr>
        <w:t>m</w:t>
      </w:r>
      <w:r w:rsidRPr="000A7EA3">
        <w:rPr>
          <w:rFonts w:cs="Times New Roman"/>
        </w:rPr>
        <w:t xml:space="preserve"> síntese</w:t>
      </w:r>
      <w:r>
        <w:rPr>
          <w:rFonts w:cs="Times New Roman"/>
        </w:rPr>
        <w:t xml:space="preserve"> das hipóteses, </w:t>
      </w:r>
      <w:r w:rsidRPr="000A7EA3">
        <w:rPr>
          <w:rFonts w:cs="Times New Roman"/>
        </w:rPr>
        <w:t xml:space="preserve">as três primeiras mencionadas como </w:t>
      </w:r>
      <w:r>
        <w:rPr>
          <w:rFonts w:cs="Times New Roman"/>
        </w:rPr>
        <w:t>aceitas</w:t>
      </w:r>
      <w:r w:rsidRPr="000A7EA3">
        <w:rPr>
          <w:rFonts w:cs="Times New Roman"/>
        </w:rPr>
        <w:t xml:space="preserve">, e afetivos, para </w:t>
      </w:r>
      <w:r>
        <w:rPr>
          <w:rFonts w:cs="Times New Roman"/>
        </w:rPr>
        <w:t>a última</w:t>
      </w:r>
      <w:r w:rsidRPr="000A7EA3">
        <w:rPr>
          <w:rFonts w:cs="Times New Roman"/>
        </w:rPr>
        <w:t xml:space="preserve"> com fortes evidências de </w:t>
      </w:r>
      <w:r>
        <w:rPr>
          <w:rFonts w:cs="Times New Roman"/>
        </w:rPr>
        <w:t>rejeição</w:t>
      </w:r>
      <w:r w:rsidRPr="000A7EA3">
        <w:rPr>
          <w:rFonts w:cs="Times New Roman"/>
        </w:rPr>
        <w:t xml:space="preserve">. Os aspectos </w:t>
      </w:r>
      <w:r>
        <w:rPr>
          <w:rFonts w:cs="Times New Roman"/>
        </w:rPr>
        <w:t>organizacionais</w:t>
      </w:r>
      <w:r w:rsidRPr="000A7EA3">
        <w:rPr>
          <w:rFonts w:cs="Times New Roman"/>
        </w:rPr>
        <w:t xml:space="preserve"> são intrinsecamente relacionados com </w:t>
      </w:r>
      <w:r>
        <w:rPr>
          <w:rFonts w:cs="Times New Roman"/>
        </w:rPr>
        <w:t>o</w:t>
      </w:r>
      <w:r w:rsidRPr="000A7EA3">
        <w:rPr>
          <w:rFonts w:cs="Times New Roman"/>
        </w:rPr>
        <w:t xml:space="preserve"> uso de tecnologias, argumento utilizado desde as teorias mais gerais que explicam o comportamento (</w:t>
      </w:r>
      <w:r>
        <w:rPr>
          <w:rFonts w:cs="Times New Roman"/>
        </w:rPr>
        <w:t xml:space="preserve">como </w:t>
      </w:r>
      <w:r w:rsidRPr="000A7EA3">
        <w:rPr>
          <w:rFonts w:cs="Times New Roman"/>
        </w:rPr>
        <w:t>TRA e TPB). Ao passo que</w:t>
      </w:r>
      <w:r>
        <w:rPr>
          <w:rFonts w:cs="Times New Roman"/>
        </w:rPr>
        <w:t>,</w:t>
      </w:r>
      <w:r w:rsidRPr="000A7EA3">
        <w:rPr>
          <w:rFonts w:cs="Times New Roman"/>
        </w:rPr>
        <w:t xml:space="preserve"> quando características instrumentais ou minimamente coercitivas são acentuadas, a probabilidade subjetiva que o indivíduo possui em continuar utilizando, ou mesmo adotar, diminui até o ponto de tornar-se aquela variável insignificante. De acordo com a revisão da literatura realizada por </w:t>
      </w:r>
      <w:r w:rsidRPr="000A7EA3">
        <w:rPr>
          <w:rFonts w:cs="Times New Roman"/>
        </w:rPr>
        <w:fldChar w:fldCharType="begin" w:fldLock="1"/>
      </w:r>
      <w:r w:rsidRPr="000A7EA3">
        <w:rPr>
          <w:rFonts w:cs="Times New Roman"/>
        </w:rPr>
        <w:instrText>ADDIN CSL_CITATION {"citationItems":[{"id":"ITEM-1","itemData":{"DOI":"10.1007/s10796-017-9774-y","ISSN":"1387-3326","abstract":"Based on a critical review of the Unified Theory of Acceptance and Use of Technology (UTAUT), this study first formalized an alternative theoretical model for explaining the acceptance and use of information system (IS) and information technology (IT) innovations. The revised theoretical model was then empirically examined using a combination of meta-analysis and structural equation modelling (MASEM) techniques. The meta-analysis was based on 1600 observations on 21 relationships coded from 162 prior studies on IS/ IT acceptance and use. The SEM analysis showed that attitude: was central to behavioural intentions and usage behaviours , partially mediated the effects of exogenous constructs on behavioural intentions, and had a direct influence on usage behaviours. A number of implications for theory and practice are derived based on the findings.","author":[{"dropping-particle":"","family":"Dwivedi","given":"Yogesh K","non-dropping-particle":"","parse-names":false,"suffix":""},{"dropping-particle":"","family":"Rana","given":"Nripendra P","non-dropping-particle":"","parse-names":false,"suffix":""},{"dropping-particle":"","family":"Jeyaraj","given":"Anand","non-dropping-particle":"","parse-names":false,"suffix":""},{"dropping-particle":"","family":"Clement","given":"Marc","non-dropping-particle":"","parse-names":false,"suffix":""},{"dropping-particle":"","family":"Williams","given":"Michael D","non-dropping-particle":"","parse-names":false,"suffix":""}],"container-title":"Information Systems Frontiers","id":"ITEM-1","issue":"3","issued":{"date-parts":[["2019","6","8"]]},"page":"719-734","title":"Re-examining the Unified Theory of Acceptance and Use of Technology (UTAUT): Towards a Revised Theoretical Model","type":"article-journal","volume":"21"},"uris":["http://www.mendeley.com/documents/?uuid=bb5e7780-ec0c-3d48-855b-92fa43491cb5"]}],"mendeley":{"formattedCitation":"(DWIVEDI et al., 2019)","manualFormatting":"Dwivedi et al. (2019)","plainTextFormattedCitation":"(DWIVEDI et al., 2019)","previouslyFormattedCitation":"(DWIVEDI et al., 2019)"},"properties":{"noteIndex":0},"schema":"https://github.com/citation-style-language/schema/raw/master/csl-citation.json"}</w:instrText>
      </w:r>
      <w:r w:rsidRPr="000A7EA3">
        <w:rPr>
          <w:rFonts w:cs="Times New Roman"/>
        </w:rPr>
        <w:fldChar w:fldCharType="separate"/>
      </w:r>
      <w:r w:rsidRPr="000A7EA3">
        <w:rPr>
          <w:rFonts w:cs="Times New Roman"/>
        </w:rPr>
        <w:t xml:space="preserve">Dwivedi </w:t>
      </w:r>
      <w:r>
        <w:rPr>
          <w:rFonts w:cs="Times New Roman"/>
        </w:rPr>
        <w:t>et al.</w:t>
      </w:r>
      <w:r w:rsidRPr="000A7EA3">
        <w:rPr>
          <w:rFonts w:cs="Times New Roman"/>
        </w:rPr>
        <w:t xml:space="preserve"> (2019)</w:t>
      </w:r>
      <w:r w:rsidRPr="000A7EA3">
        <w:rPr>
          <w:rFonts w:cs="Times New Roman"/>
        </w:rPr>
        <w:fldChar w:fldCharType="end"/>
      </w:r>
      <w:r>
        <w:rPr>
          <w:rFonts w:cs="Times New Roman"/>
        </w:rPr>
        <w:t xml:space="preserve">, as </w:t>
      </w:r>
      <w:r w:rsidRPr="000A7EA3">
        <w:rPr>
          <w:rFonts w:cs="Times New Roman"/>
        </w:rPr>
        <w:t xml:space="preserve">hipóteses </w:t>
      </w:r>
      <w:r>
        <w:rPr>
          <w:rFonts w:cs="Times New Roman"/>
        </w:rPr>
        <w:t xml:space="preserve">rejeitadas </w:t>
      </w:r>
      <w:r w:rsidRPr="000A7EA3">
        <w:rPr>
          <w:rFonts w:cs="Times New Roman"/>
        </w:rPr>
        <w:t>podem ter algum nível de mediação quando inclusa uma avaliação subjetiva (positiva ou negativa) sobre o comportamento, as atitudes.</w:t>
      </w:r>
    </w:p>
    <w:p w14:paraId="15F80401" w14:textId="77777777" w:rsidR="00BC7604" w:rsidRDefault="00BC7604" w:rsidP="00BC7604">
      <w:pPr>
        <w:spacing w:after="0" w:line="360" w:lineRule="auto"/>
        <w:ind w:firstLine="708"/>
        <w:jc w:val="both"/>
        <w:rPr>
          <w:rFonts w:cs="Times New Roman"/>
        </w:rPr>
      </w:pPr>
      <w:r>
        <w:rPr>
          <w:rFonts w:cs="Times New Roman"/>
        </w:rPr>
        <w:t>É possível discutir a relação entre a</w:t>
      </w:r>
      <w:r w:rsidRPr="000A7EA3">
        <w:rPr>
          <w:rFonts w:cs="Times New Roman"/>
        </w:rPr>
        <w:t xml:space="preserve"> rejeição da hipótese de Condições Facilitadoras (H4) e confirmação </w:t>
      </w:r>
      <w:r>
        <w:rPr>
          <w:rFonts w:cs="Times New Roman"/>
        </w:rPr>
        <w:t xml:space="preserve">das outras hipóteses. </w:t>
      </w:r>
      <w:r w:rsidRPr="000A7EA3">
        <w:rPr>
          <w:rFonts w:cs="Times New Roman"/>
        </w:rPr>
        <w:t>Estatisticamente</w:t>
      </w:r>
      <w:r>
        <w:rPr>
          <w:rFonts w:cs="Times New Roman"/>
        </w:rPr>
        <w:t>,</w:t>
      </w:r>
      <w:r w:rsidRPr="000A7EA3">
        <w:rPr>
          <w:rFonts w:cs="Times New Roman"/>
        </w:rPr>
        <w:t xml:space="preserve"> pode ser explicado que a</w:t>
      </w:r>
      <w:r>
        <w:rPr>
          <w:rFonts w:cs="Times New Roman"/>
        </w:rPr>
        <w:t>s hipóteses confirmadas</w:t>
      </w:r>
      <w:r w:rsidRPr="000A7EA3">
        <w:rPr>
          <w:rFonts w:cs="Times New Roman"/>
        </w:rPr>
        <w:t xml:space="preserve"> capt</w:t>
      </w:r>
      <w:r>
        <w:rPr>
          <w:rFonts w:cs="Times New Roman"/>
        </w:rPr>
        <w:t>aram,</w:t>
      </w:r>
      <w:r w:rsidRPr="000A7EA3">
        <w:rPr>
          <w:rFonts w:cs="Times New Roman"/>
        </w:rPr>
        <w:t xml:space="preserve"> com maior intensidade</w:t>
      </w:r>
      <w:r>
        <w:rPr>
          <w:rFonts w:cs="Times New Roman"/>
        </w:rPr>
        <w:t>,</w:t>
      </w:r>
      <w:r w:rsidRPr="000A7EA3">
        <w:rPr>
          <w:rFonts w:cs="Times New Roman"/>
        </w:rPr>
        <w:t xml:space="preserve"> a mesma variabilidade explicada pela H4 em relação </w:t>
      </w:r>
      <w:r>
        <w:rPr>
          <w:rFonts w:cs="Times New Roman"/>
        </w:rPr>
        <w:t>ao Uso do ERP</w:t>
      </w:r>
      <w:r w:rsidRPr="000A7EA3">
        <w:rPr>
          <w:rFonts w:cs="Times New Roman"/>
        </w:rPr>
        <w:t>.</w:t>
      </w:r>
      <w:r>
        <w:rPr>
          <w:rFonts w:cs="Times New Roman"/>
        </w:rPr>
        <w:t xml:space="preserve"> Na prática, isso</w:t>
      </w:r>
      <w:r w:rsidRPr="000A7EA3">
        <w:rPr>
          <w:rFonts w:cs="Times New Roman"/>
        </w:rPr>
        <w:t xml:space="preserve"> pode </w:t>
      </w:r>
      <w:r>
        <w:rPr>
          <w:rFonts w:cs="Times New Roman"/>
        </w:rPr>
        <w:t xml:space="preserve">significar que os usuários do ERP já alcançaram tamanho domínio sobre a utilização que não existem mais aspectos facilitadores que possam aumentar a intenção. Esta situação descreve uma </w:t>
      </w:r>
      <w:r w:rsidRPr="000A7EA3">
        <w:rPr>
          <w:rFonts w:cs="Times New Roman"/>
        </w:rPr>
        <w:t>situação a qual os procedimentos de utilização da tecnologia estão tão automatizados pelos usuários que a hipótese H4 não faz mais sentido contextual</w:t>
      </w:r>
      <w:r>
        <w:rPr>
          <w:rFonts w:cs="Times New Roman"/>
        </w:rPr>
        <w:t>, pois que é responsável por explicar a intenção, agora, é o hábito.</w:t>
      </w:r>
    </w:p>
    <w:p w14:paraId="66BE5A0D" w14:textId="77777777" w:rsidR="00BC7604" w:rsidRDefault="00BC7604" w:rsidP="00BC7604">
      <w:pPr>
        <w:spacing w:after="0" w:line="360" w:lineRule="auto"/>
        <w:ind w:firstLine="708"/>
        <w:jc w:val="both"/>
        <w:rPr>
          <w:rFonts w:cs="Times New Roman"/>
        </w:rPr>
      </w:pPr>
      <w:r>
        <w:rPr>
          <w:rFonts w:cs="Times New Roman"/>
        </w:rPr>
        <w:t>A partir do momento que as tarefas realizadas no ERP assumem um alto nível de automatização, já viraram um hábito, logo, não existe mais um sistema complexo como poderia existir em novos ou não-usuários. Consequentemente, os atuais usuários do ERP possuem diferentes níveis de intenção e têm, como antecedente, o mesmo nível – quase como uma constante – de expectativa de esforço.</w:t>
      </w:r>
    </w:p>
    <w:p w14:paraId="2F918DB3" w14:textId="77777777" w:rsidR="00BC7604" w:rsidRPr="00AF60B0" w:rsidRDefault="00BC7604" w:rsidP="00BC7604">
      <w:pPr>
        <w:spacing w:after="0" w:line="360" w:lineRule="auto"/>
        <w:ind w:firstLine="708"/>
        <w:jc w:val="both"/>
        <w:rPr>
          <w:rFonts w:cs="Times New Roman"/>
        </w:rPr>
      </w:pPr>
      <w:r>
        <w:rPr>
          <w:rFonts w:cs="Times New Roman"/>
        </w:rPr>
        <w:t xml:space="preserve">Da mesma forma </w:t>
      </w:r>
      <w:r w:rsidRPr="00AF60B0">
        <w:rPr>
          <w:rFonts w:cs="Times New Roman"/>
        </w:rPr>
        <w:t xml:space="preserve">que </w:t>
      </w:r>
      <w:proofErr w:type="spellStart"/>
      <w:r w:rsidRPr="00AF60B0">
        <w:rPr>
          <w:rFonts w:eastAsia="Times New Roman" w:cs="Times New Roman"/>
          <w:szCs w:val="24"/>
        </w:rPr>
        <w:t>Venkatesh</w:t>
      </w:r>
      <w:proofErr w:type="spellEnd"/>
      <w:r w:rsidRPr="00AF60B0">
        <w:rPr>
          <w:rFonts w:eastAsia="Times New Roman" w:cs="Times New Roman"/>
          <w:szCs w:val="24"/>
        </w:rPr>
        <w:t xml:space="preserve"> </w:t>
      </w:r>
      <w:r w:rsidRPr="00634674">
        <w:rPr>
          <w:rFonts w:eastAsia="Times New Roman" w:cs="Times New Roman"/>
          <w:i/>
          <w:szCs w:val="24"/>
        </w:rPr>
        <w:t>et al</w:t>
      </w:r>
      <w:r w:rsidRPr="00AF60B0">
        <w:rPr>
          <w:rFonts w:eastAsia="Times New Roman" w:cs="Times New Roman"/>
          <w:szCs w:val="24"/>
        </w:rPr>
        <w:t xml:space="preserve">. (2003) propôs um tipo de relacionamento para Condições Facilitadoras no UTAUT e o reviu para o UTAUT2, em </w:t>
      </w:r>
      <w:proofErr w:type="spellStart"/>
      <w:r w:rsidRPr="00AF60B0">
        <w:rPr>
          <w:rFonts w:eastAsia="Times New Roman" w:cs="Times New Roman"/>
          <w:szCs w:val="24"/>
        </w:rPr>
        <w:t>Venkatesh</w:t>
      </w:r>
      <w:proofErr w:type="spellEnd"/>
      <w:r w:rsidRPr="00AF60B0">
        <w:rPr>
          <w:rFonts w:eastAsia="Times New Roman" w:cs="Times New Roman"/>
          <w:szCs w:val="24"/>
        </w:rPr>
        <w:t xml:space="preserve"> </w:t>
      </w:r>
      <w:r w:rsidRPr="00634674">
        <w:rPr>
          <w:rFonts w:eastAsia="Times New Roman" w:cs="Times New Roman"/>
          <w:i/>
          <w:szCs w:val="24"/>
        </w:rPr>
        <w:t>et al</w:t>
      </w:r>
      <w:r w:rsidRPr="00AF60B0">
        <w:rPr>
          <w:rFonts w:eastAsia="Times New Roman" w:cs="Times New Roman"/>
          <w:szCs w:val="24"/>
        </w:rPr>
        <w:t xml:space="preserve">. (2012), é plausível arguir, por analogia, que as hipóteses não confirmadas possuam um efeito direto no comportamento de uso do ERP, em detrimento de uma mediação pela intenção. </w:t>
      </w:r>
      <w:r>
        <w:rPr>
          <w:rFonts w:eastAsia="Times New Roman" w:cs="Times New Roman"/>
          <w:szCs w:val="24"/>
        </w:rPr>
        <w:t>Esta discussão pode ser realizada com base nas discussões dos parágrafos anteriores, sobre possíveis explicações para a rejeição das hipóteses previstas no UTAUT2, em associação com os aspectos contextuais.</w:t>
      </w:r>
    </w:p>
    <w:p w14:paraId="7DF5D1DB" w14:textId="77777777" w:rsidR="00BC7604" w:rsidRDefault="00BC7604" w:rsidP="00BC7604">
      <w:pPr>
        <w:spacing w:after="0" w:line="360" w:lineRule="auto"/>
        <w:ind w:firstLine="708"/>
        <w:jc w:val="both"/>
        <w:rPr>
          <w:rFonts w:cs="Times New Roman"/>
        </w:rPr>
      </w:pPr>
    </w:p>
    <w:p w14:paraId="5A80C9D9" w14:textId="77777777" w:rsidR="00BC7604" w:rsidRDefault="00BC7604" w:rsidP="00BC7604">
      <w:pPr>
        <w:spacing w:after="0" w:line="360" w:lineRule="auto"/>
        <w:ind w:firstLine="708"/>
        <w:jc w:val="both"/>
        <w:rPr>
          <w:rFonts w:cs="Times New Roman"/>
        </w:rPr>
      </w:pPr>
    </w:p>
    <w:p w14:paraId="19CC7D73" w14:textId="77777777" w:rsidR="00BC7604" w:rsidRDefault="00BC7604" w:rsidP="00BC7604">
      <w:pPr>
        <w:spacing w:after="0" w:line="360" w:lineRule="auto"/>
        <w:ind w:firstLine="708"/>
        <w:jc w:val="both"/>
        <w:rPr>
          <w:rFonts w:cs="Times New Roman"/>
        </w:rPr>
      </w:pPr>
    </w:p>
    <w:p w14:paraId="54F562AB" w14:textId="77777777" w:rsidR="00BC7604" w:rsidRDefault="00BC7604" w:rsidP="00BC7604">
      <w:pPr>
        <w:spacing w:after="0" w:line="360" w:lineRule="auto"/>
        <w:ind w:firstLine="708"/>
        <w:jc w:val="both"/>
        <w:rPr>
          <w:rFonts w:cs="Times New Roman"/>
        </w:rPr>
      </w:pPr>
    </w:p>
    <w:p w14:paraId="64D7154F" w14:textId="77777777" w:rsidR="00BC7604" w:rsidRPr="00C27487" w:rsidRDefault="00BC7604" w:rsidP="00BC7604">
      <w:pPr>
        <w:spacing w:after="0" w:line="360" w:lineRule="auto"/>
        <w:ind w:firstLine="708"/>
        <w:jc w:val="both"/>
        <w:rPr>
          <w:rFonts w:cs="Times New Roman"/>
        </w:rPr>
      </w:pPr>
    </w:p>
    <w:p w14:paraId="2A5953B6" w14:textId="77777777" w:rsidR="00BC7604" w:rsidRPr="00830326" w:rsidRDefault="00BC7604" w:rsidP="00BC7604">
      <w:pPr>
        <w:spacing w:after="80" w:line="360" w:lineRule="auto"/>
        <w:rPr>
          <w:rFonts w:cs="Times New Roman"/>
          <w:b/>
        </w:rPr>
      </w:pPr>
      <w:r w:rsidRPr="00830326">
        <w:rPr>
          <w:rFonts w:cs="Times New Roman"/>
          <w:b/>
        </w:rPr>
        <w:lastRenderedPageBreak/>
        <w:t>5 CONCLUSÕES</w:t>
      </w:r>
    </w:p>
    <w:p w14:paraId="3FED490E" w14:textId="77777777" w:rsidR="00BC7604" w:rsidRPr="00E70725" w:rsidRDefault="00BC7604" w:rsidP="00BC7604">
      <w:pPr>
        <w:spacing w:after="0" w:line="360" w:lineRule="auto"/>
        <w:ind w:firstLine="709"/>
        <w:jc w:val="both"/>
        <w:rPr>
          <w:rFonts w:cs="Times New Roman"/>
        </w:rPr>
      </w:pPr>
      <w:r w:rsidRPr="00C27487">
        <w:rPr>
          <w:rFonts w:cs="Times New Roman"/>
          <w:szCs w:val="24"/>
        </w:rPr>
        <w:t xml:space="preserve">O principal objetivo deste artigo </w:t>
      </w:r>
      <w:r>
        <w:rPr>
          <w:rFonts w:cs="Times New Roman"/>
          <w:szCs w:val="24"/>
        </w:rPr>
        <w:t xml:space="preserve">era testar empiricamente o impacto das variáveis </w:t>
      </w:r>
      <w:r w:rsidRPr="00C27487">
        <w:rPr>
          <w:rFonts w:cs="Times New Roman"/>
          <w:szCs w:val="24"/>
        </w:rPr>
        <w:t xml:space="preserve">da Teoria Unificada da Aceitação e Uso da Tecnologia </w:t>
      </w:r>
      <w:r>
        <w:rPr>
          <w:rFonts w:cs="Times New Roman"/>
          <w:szCs w:val="24"/>
        </w:rPr>
        <w:t xml:space="preserve">dentro do contexto </w:t>
      </w:r>
      <w:r w:rsidRPr="00C27487">
        <w:rPr>
          <w:rFonts w:cs="Times New Roman"/>
        </w:rPr>
        <w:t xml:space="preserve">de uma empresa </w:t>
      </w:r>
      <w:r>
        <w:rPr>
          <w:rFonts w:cs="Times New Roman"/>
        </w:rPr>
        <w:t xml:space="preserve">do oeste amazônico </w:t>
      </w:r>
      <w:r w:rsidRPr="00C27487">
        <w:rPr>
          <w:rFonts w:cs="Times New Roman"/>
        </w:rPr>
        <w:t>que passou pelo processo de implantação de um ERP.</w:t>
      </w:r>
      <w:r w:rsidRPr="00C27487">
        <w:rPr>
          <w:rFonts w:cs="Times New Roman"/>
          <w:szCs w:val="24"/>
        </w:rPr>
        <w:t xml:space="preserve"> </w:t>
      </w:r>
      <w:r w:rsidRPr="00C27487">
        <w:rPr>
          <w:rFonts w:cs="Times New Roman"/>
          <w:color w:val="000000" w:themeColor="text1"/>
          <w:szCs w:val="24"/>
        </w:rPr>
        <w:t>Os itens de cada fator, de forma geral, demonstraram resultados considerados satisfatórios. No entanto, é recomendada a elaboração de novos itens para os fatores “Condições Facilitadoras”</w:t>
      </w:r>
      <w:r>
        <w:rPr>
          <w:rFonts w:cs="Times New Roman"/>
          <w:color w:val="000000" w:themeColor="text1"/>
          <w:szCs w:val="24"/>
        </w:rPr>
        <w:t>.</w:t>
      </w:r>
    </w:p>
    <w:p w14:paraId="06E21AA4" w14:textId="453E15D3" w:rsidR="00A74472" w:rsidRDefault="00A74472" w:rsidP="00332710">
      <w:pPr>
        <w:spacing w:after="0" w:line="360" w:lineRule="auto"/>
        <w:ind w:firstLine="708"/>
        <w:jc w:val="both"/>
        <w:rPr>
          <w:rFonts w:cs="Times New Roman"/>
          <w:szCs w:val="24"/>
        </w:rPr>
      </w:pPr>
      <w:r>
        <w:rPr>
          <w:rFonts w:cs="Times New Roman"/>
          <w:szCs w:val="24"/>
        </w:rPr>
        <w:t xml:space="preserve">Essa pesquisa aplicada demonstrada a importância das variáveis do modelo de regressão. A empresa estudada pode melhorar as variáveis que impactam o uso para aumentar a utilização do ERP. </w:t>
      </w:r>
      <w:r w:rsidR="00BC7604" w:rsidRPr="000A7EA3">
        <w:rPr>
          <w:rFonts w:cs="Times New Roman"/>
          <w:szCs w:val="24"/>
        </w:rPr>
        <w:t xml:space="preserve">Os resultados empíricos da pesquisa foram responsáveis por confirmar </w:t>
      </w:r>
      <w:r w:rsidR="00BC7604">
        <w:rPr>
          <w:rFonts w:cs="Times New Roman"/>
          <w:szCs w:val="24"/>
        </w:rPr>
        <w:t>3</w:t>
      </w:r>
      <w:r w:rsidR="00BC7604" w:rsidRPr="000A7EA3">
        <w:rPr>
          <w:rFonts w:cs="Times New Roman"/>
          <w:szCs w:val="24"/>
        </w:rPr>
        <w:t xml:space="preserve"> das </w:t>
      </w:r>
      <w:r w:rsidR="00BC7604">
        <w:rPr>
          <w:rFonts w:cs="Times New Roman"/>
          <w:szCs w:val="24"/>
        </w:rPr>
        <w:t xml:space="preserve">4 </w:t>
      </w:r>
      <w:r w:rsidR="00BC7604" w:rsidRPr="000A7EA3">
        <w:rPr>
          <w:rFonts w:cs="Times New Roman"/>
          <w:szCs w:val="24"/>
        </w:rPr>
        <w:t>hipóteses testadas. De antemão, apesar de não serem apresentados aqui, por questões de objetividade do trabalho, o modelo também apresentou bons índices de confiabilidade e validade convergente no modelo</w:t>
      </w:r>
      <w:r w:rsidR="00BC7604">
        <w:rPr>
          <w:rFonts w:cs="Times New Roman"/>
          <w:szCs w:val="24"/>
        </w:rPr>
        <w:t xml:space="preserve">. Assim como apresentado na Teoria da Ação Racional (TRA) e teorias subsequentes (TPB, DTPB, UTAUT), a intenção de continuar a utilizando os </w:t>
      </w:r>
      <w:proofErr w:type="spellStart"/>
      <w:r w:rsidR="00BC7604">
        <w:rPr>
          <w:rFonts w:cs="Times New Roman"/>
          <w:szCs w:val="24"/>
        </w:rPr>
        <w:t>ERPs</w:t>
      </w:r>
      <w:proofErr w:type="spellEnd"/>
      <w:r w:rsidR="00BC7604">
        <w:rPr>
          <w:rFonts w:cs="Times New Roman"/>
          <w:szCs w:val="24"/>
        </w:rPr>
        <w:t xml:space="preserve"> continua sendo um forte preditor do comportamento de uso. O modelo não pode confirmar a influência de condições facilitadoras na intenção e no comportamento de uso. Esse fato pode ser explicado pelo proposto por </w:t>
      </w:r>
      <w:r w:rsidR="00BC7604">
        <w:rPr>
          <w:rFonts w:cs="Times New Roman"/>
          <w:szCs w:val="24"/>
        </w:rPr>
        <w:fldChar w:fldCharType="begin" w:fldLock="1"/>
      </w:r>
      <w:r w:rsidR="00BC7604">
        <w:rPr>
          <w:rFonts w:cs="Times New Roman"/>
          <w:szCs w:val="24"/>
        </w:rPr>
        <w:instrText>ADDIN CSL_CITATION {"citationItems":[{"id":"ITEM-1","itemData":{"DOI":"10.1108/02652321011064908","ISSN":"0265-2323","abstract":"This paper’s objective is to propose an integrated framework to investigate the adoption intention of mobile banking technology and to test it in the Brazilian context. Design/methodology/approach","author":[{"dropping-particle":"","family":"Püschel","given":"Júlio Portella","non-dropping-particle":"","parse-names":false,"suffix":""},{"dropping-particle":"","family":"Mazzon","given":"José Afonso","non-dropping-particle":"","parse-names":false,"suffix":""},{"dropping-particle":"","family":"Hernandes","given":"José Mauro da Costa","non-dropping-particle":"","parse-names":false,"suffix":""}],"container-title":"International Journal of Bank Marketing","editor":[{"dropping-particle":"","family":"Karjaluoto","given":"Heikki","non-dropping-particle":"","parse-names":false,"suffix":""}],"id":"ITEM-1","issue":"5","issued":{"date-parts":[["2010","7","27"]]},"page":"389-409","title":"Mobile banking: proposition of an integrated adoption intention framework","type":"article-journal","volume":"28"},"uris":["http://www.mendeley.com/documents/?uuid=c7434606-e64d-4d44-9361-b08450e29996"]}],"mendeley":{"formattedCitation":"(PÜSCHEL; MAZZON; HERNANDES, 2010)","manualFormatting":"Püschel, Mazzon e Hernandes (2010)","plainTextFormattedCitation":"(PÜSCHEL; MAZZON; HERNANDES, 2010)","previouslyFormattedCitation":"(PÜSCHEL; MAZZON; HERNANDES, 2010)"},"properties":{"noteIndex":0},"schema":"https://github.com/citation-style-language/schema/raw/master/csl-citation.json"}</w:instrText>
      </w:r>
      <w:r w:rsidR="00BC7604">
        <w:rPr>
          <w:rFonts w:cs="Times New Roman"/>
          <w:szCs w:val="24"/>
        </w:rPr>
        <w:fldChar w:fldCharType="separate"/>
      </w:r>
      <w:r w:rsidR="00BC7604">
        <w:rPr>
          <w:rFonts w:cs="Times New Roman"/>
          <w:noProof/>
          <w:szCs w:val="24"/>
        </w:rPr>
        <w:t>P</w:t>
      </w:r>
      <w:r w:rsidR="00BC7604" w:rsidRPr="003E1BC1">
        <w:rPr>
          <w:rFonts w:cs="Times New Roman"/>
          <w:noProof/>
          <w:szCs w:val="24"/>
        </w:rPr>
        <w:t>üschel</w:t>
      </w:r>
      <w:r w:rsidR="00BC7604">
        <w:rPr>
          <w:rFonts w:cs="Times New Roman"/>
          <w:noProof/>
          <w:szCs w:val="24"/>
        </w:rPr>
        <w:t>,</w:t>
      </w:r>
      <w:r w:rsidR="00BC7604" w:rsidRPr="003E1BC1">
        <w:rPr>
          <w:rFonts w:cs="Times New Roman"/>
          <w:noProof/>
          <w:szCs w:val="24"/>
        </w:rPr>
        <w:t xml:space="preserve"> Mazzon</w:t>
      </w:r>
      <w:r w:rsidR="00BC7604">
        <w:rPr>
          <w:rFonts w:cs="Times New Roman"/>
          <w:noProof/>
          <w:szCs w:val="24"/>
        </w:rPr>
        <w:t xml:space="preserve"> e</w:t>
      </w:r>
      <w:r w:rsidR="00BC7604" w:rsidRPr="003E1BC1">
        <w:rPr>
          <w:rFonts w:cs="Times New Roman"/>
          <w:noProof/>
          <w:szCs w:val="24"/>
        </w:rPr>
        <w:t xml:space="preserve"> Hernandes</w:t>
      </w:r>
      <w:r w:rsidR="00BC7604">
        <w:rPr>
          <w:rFonts w:cs="Times New Roman"/>
          <w:noProof/>
          <w:szCs w:val="24"/>
        </w:rPr>
        <w:t xml:space="preserve"> (</w:t>
      </w:r>
      <w:r w:rsidR="00BC7604" w:rsidRPr="003E1BC1">
        <w:rPr>
          <w:rFonts w:cs="Times New Roman"/>
          <w:noProof/>
          <w:szCs w:val="24"/>
        </w:rPr>
        <w:t>2010)</w:t>
      </w:r>
      <w:r w:rsidR="00BC7604">
        <w:rPr>
          <w:rFonts w:cs="Times New Roman"/>
          <w:szCs w:val="24"/>
        </w:rPr>
        <w:fldChar w:fldCharType="end"/>
      </w:r>
      <w:r w:rsidR="00BC7604">
        <w:rPr>
          <w:rFonts w:cs="Times New Roman"/>
          <w:szCs w:val="24"/>
        </w:rPr>
        <w:t xml:space="preserve"> ao proporem que a relação entre essas variáveis é mediada pela percepção de controle comportamental. </w:t>
      </w:r>
    </w:p>
    <w:p w14:paraId="7E02B92C" w14:textId="77777777" w:rsidR="00BC7604" w:rsidRDefault="00BC7604" w:rsidP="00BC7604">
      <w:pPr>
        <w:spacing w:after="0" w:line="360" w:lineRule="auto"/>
        <w:ind w:firstLine="708"/>
        <w:jc w:val="both"/>
        <w:rPr>
          <w:rFonts w:cs="Times New Roman"/>
          <w:szCs w:val="24"/>
        </w:rPr>
      </w:pPr>
      <w:r>
        <w:rPr>
          <w:rFonts w:cs="Times New Roman"/>
          <w:szCs w:val="24"/>
        </w:rPr>
        <w:t xml:space="preserve">Um ponto que permeia as limitações do estudo e as sugestões de trabalhos futuros é possibilidade de testar diferentes moderadores, tal qual proposto nos modelos de UTAUT e UTAUT2. Entre eles é possível mencionar a moderação por características pessoais (idade e gênero) e uso (experiência e voluntariedade). Ainda assim, é possível comentar que aspectos específicos de contexto possam interferir na qualidade do modelo de mensuração. Então, estudos qualitativos podem ser úteis para propor hipóteses que levam o contexto em consideração. </w:t>
      </w:r>
      <w:r w:rsidRPr="00302763">
        <w:rPr>
          <w:rFonts w:cs="Times New Roman"/>
          <w:szCs w:val="24"/>
        </w:rPr>
        <w:t xml:space="preserve">Como limitação das análises apresentadas anteriormente, não foram testadas as moderações sugeridas no UTAUT/UTAUT2. Esse fato pode ser o responsável por não confirmar </w:t>
      </w:r>
      <w:r>
        <w:rPr>
          <w:rFonts w:cs="Times New Roman"/>
          <w:szCs w:val="24"/>
        </w:rPr>
        <w:t>a</w:t>
      </w:r>
      <w:r w:rsidRPr="00302763">
        <w:rPr>
          <w:rFonts w:cs="Times New Roman"/>
          <w:szCs w:val="24"/>
        </w:rPr>
        <w:t xml:space="preserve"> hipótese </w:t>
      </w:r>
      <w:r>
        <w:rPr>
          <w:rFonts w:cs="Times New Roman"/>
          <w:szCs w:val="24"/>
        </w:rPr>
        <w:t>H4</w:t>
      </w:r>
      <w:r w:rsidRPr="00302763">
        <w:rPr>
          <w:rFonts w:cs="Times New Roman"/>
          <w:szCs w:val="24"/>
        </w:rPr>
        <w:t xml:space="preserve">. </w:t>
      </w:r>
      <w:r>
        <w:rPr>
          <w:rFonts w:cs="Times New Roman"/>
          <w:szCs w:val="24"/>
        </w:rPr>
        <w:t>Na</w:t>
      </w:r>
      <w:r w:rsidRPr="00302763">
        <w:rPr>
          <w:rFonts w:cs="Times New Roman"/>
          <w:szCs w:val="24"/>
        </w:rPr>
        <w:t xml:space="preserve"> análise também não são apresentados os valores de tamanho do efeito e testes de hipóteses responsáveis por apresentar o efeito indireto das variáveis Condições Facilitadoras</w:t>
      </w:r>
      <w:r>
        <w:rPr>
          <w:rFonts w:cs="Times New Roman"/>
          <w:szCs w:val="24"/>
        </w:rPr>
        <w:t>.</w:t>
      </w:r>
    </w:p>
    <w:p w14:paraId="4986CC10" w14:textId="77777777" w:rsidR="00BC7604" w:rsidRDefault="00BC7604" w:rsidP="00BC7604">
      <w:pPr>
        <w:spacing w:after="0" w:line="360" w:lineRule="auto"/>
        <w:ind w:firstLine="708"/>
        <w:jc w:val="both"/>
        <w:rPr>
          <w:rFonts w:cs="Times New Roman"/>
          <w:szCs w:val="24"/>
        </w:rPr>
      </w:pPr>
      <w:r>
        <w:rPr>
          <w:rFonts w:cs="Times New Roman"/>
          <w:szCs w:val="24"/>
        </w:rPr>
        <w:t xml:space="preserve">Um desses exemplos contextuais pode ser o relacionado com a quarta hipótese, pois condições específicas de consumo no mercado aos quais os dados foram coletados pode influenciar no relacionamento proposto. Como exemplo podem ser citadas as condições de concorrência e monopólio. Pois caso somente exista um produto, ou menores níveis de </w:t>
      </w:r>
      <w:r>
        <w:rPr>
          <w:rFonts w:cs="Times New Roman"/>
          <w:szCs w:val="24"/>
        </w:rPr>
        <w:lastRenderedPageBreak/>
        <w:t xml:space="preserve">acirramento competitivo do mercado, o uso e condições facilitadoras não necessariamente influencia a intenção de continuar usando um ERP. </w:t>
      </w:r>
    </w:p>
    <w:p w14:paraId="534F5E0C" w14:textId="77777777" w:rsidR="00BC7604" w:rsidRPr="00BC7604" w:rsidRDefault="00BC7604" w:rsidP="00BC7604">
      <w:pPr>
        <w:spacing w:after="80" w:line="360" w:lineRule="auto"/>
        <w:rPr>
          <w:rFonts w:cs="Times New Roman"/>
          <w:b/>
        </w:rPr>
      </w:pPr>
    </w:p>
    <w:p w14:paraId="26D7E334" w14:textId="77777777" w:rsidR="00BC7604" w:rsidRPr="00145B0C" w:rsidRDefault="00BC7604" w:rsidP="00BC7604">
      <w:pPr>
        <w:spacing w:after="80" w:line="360" w:lineRule="auto"/>
        <w:rPr>
          <w:rFonts w:cs="Times New Roman"/>
          <w:b/>
          <w:lang w:val="en-US"/>
        </w:rPr>
      </w:pPr>
      <w:r w:rsidRPr="00145B0C">
        <w:rPr>
          <w:rFonts w:cs="Times New Roman"/>
          <w:b/>
          <w:lang w:val="en-US"/>
        </w:rPr>
        <w:t>REFERÊNCIAS</w:t>
      </w:r>
    </w:p>
    <w:p w14:paraId="43340A7F" w14:textId="77777777" w:rsidR="00BC7604" w:rsidRPr="00374ADF" w:rsidRDefault="00BC7604" w:rsidP="00BC7604">
      <w:pPr>
        <w:widowControl w:val="0"/>
        <w:autoSpaceDE w:val="0"/>
        <w:autoSpaceDN w:val="0"/>
        <w:adjustRightInd w:val="0"/>
        <w:spacing w:afterLines="60" w:after="144" w:line="360" w:lineRule="auto"/>
        <w:jc w:val="both"/>
        <w:rPr>
          <w:rFonts w:cs="Times New Roman"/>
          <w:noProof/>
          <w:szCs w:val="24"/>
          <w:lang w:val="en-US"/>
        </w:rPr>
      </w:pPr>
      <w:r w:rsidRPr="00374ADF">
        <w:rPr>
          <w:rFonts w:cs="Times New Roman"/>
          <w:noProof/>
          <w:szCs w:val="24"/>
          <w:lang w:val="en-US"/>
        </w:rPr>
        <w:t xml:space="preserve">AJZEN, I. From Intentions to Actions: A Theory of Planned Behavior. In: </w:t>
      </w:r>
      <w:r w:rsidRPr="00374ADF">
        <w:rPr>
          <w:rFonts w:cs="Times New Roman"/>
          <w:b/>
          <w:bCs/>
          <w:noProof/>
          <w:szCs w:val="24"/>
          <w:lang w:val="en-US"/>
        </w:rPr>
        <w:t>Action Control</w:t>
      </w:r>
      <w:r w:rsidRPr="00374ADF">
        <w:rPr>
          <w:rFonts w:cs="Times New Roman"/>
          <w:noProof/>
          <w:szCs w:val="24"/>
          <w:lang w:val="en-US"/>
        </w:rPr>
        <w:t xml:space="preserve">. Berlin, Heidelberg: Springer Berlin Heidelberg, 1985. p. 11–39. </w:t>
      </w:r>
    </w:p>
    <w:p w14:paraId="3E83845A"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noProof/>
          <w:szCs w:val="24"/>
          <w:lang w:val="en-US"/>
        </w:rPr>
        <w:t xml:space="preserve">ALSHARE, K. A.; LANE, P. L. Predicting Student-Perceived Learning Outcomes and Satisfaction in ERP Courses: An Empirical Investigation. </w:t>
      </w:r>
      <w:r w:rsidRPr="006C5B4E">
        <w:rPr>
          <w:rFonts w:cs="Times New Roman"/>
          <w:b/>
          <w:bCs/>
          <w:noProof/>
          <w:szCs w:val="24"/>
          <w:lang w:val="en-US"/>
        </w:rPr>
        <w:t>Communications of the Association for Information Systems</w:t>
      </w:r>
      <w:r w:rsidRPr="006C5B4E">
        <w:rPr>
          <w:rFonts w:cs="Times New Roman"/>
          <w:noProof/>
          <w:szCs w:val="24"/>
          <w:lang w:val="en-US"/>
        </w:rPr>
        <w:t>, v. 28, p. 571–584, 2011.</w:t>
      </w:r>
    </w:p>
    <w:p w14:paraId="56793ED8"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BALS, C. Toward a supply chain finance (SCF) ecosystem – Proposing a framework and agenda for future research. </w:t>
      </w:r>
      <w:r w:rsidRPr="00374ADF">
        <w:rPr>
          <w:rFonts w:cs="Times New Roman"/>
          <w:b/>
          <w:bCs/>
          <w:szCs w:val="24"/>
          <w:lang w:val="en-US"/>
        </w:rPr>
        <w:t>Journal of Purchasing and Supply Management</w:t>
      </w:r>
      <w:r w:rsidRPr="00374ADF">
        <w:rPr>
          <w:rFonts w:cs="Times New Roman"/>
          <w:szCs w:val="24"/>
          <w:lang w:val="en-US"/>
        </w:rPr>
        <w:t xml:space="preserve">, v. 25, n. 2, p. 105–117, 1 mar. 2019. </w:t>
      </w:r>
    </w:p>
    <w:p w14:paraId="046CCF9F"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BROWN, S. A., and VENKATESH, V. 2005. “</w:t>
      </w:r>
      <w:r w:rsidRPr="00374ADF">
        <w:rPr>
          <w:rFonts w:cs="Times New Roman"/>
          <w:b/>
          <w:szCs w:val="24"/>
          <w:lang w:val="en-US"/>
        </w:rPr>
        <w:t>Model of Adoption of Technology in the Household: A Baseline Model Test and Extension Incorporating Household Life Cycle,”</w:t>
      </w:r>
      <w:r w:rsidRPr="00374ADF">
        <w:rPr>
          <w:rFonts w:cs="Times New Roman"/>
          <w:szCs w:val="24"/>
          <w:lang w:val="en-US"/>
        </w:rPr>
        <w:t xml:space="preserve"> MIS Quarterly (29:4), pp. 399-426.</w:t>
      </w:r>
    </w:p>
    <w:p w14:paraId="5D65B07F" w14:textId="77777777" w:rsidR="00BC7604" w:rsidRPr="00374ADF" w:rsidRDefault="00BC7604" w:rsidP="00BC7604">
      <w:pPr>
        <w:widowControl w:val="0"/>
        <w:autoSpaceDE w:val="0"/>
        <w:autoSpaceDN w:val="0"/>
        <w:adjustRightInd w:val="0"/>
        <w:spacing w:afterLines="60" w:after="144" w:line="360" w:lineRule="auto"/>
        <w:jc w:val="both"/>
        <w:rPr>
          <w:rFonts w:cs="Times New Roman"/>
          <w:noProof/>
          <w:szCs w:val="24"/>
          <w:lang w:val="en-US"/>
        </w:rPr>
      </w:pPr>
      <w:r w:rsidRPr="00374ADF">
        <w:rPr>
          <w:rFonts w:cs="Times New Roman"/>
          <w:noProof/>
          <w:szCs w:val="24"/>
          <w:lang w:val="en-US"/>
        </w:rPr>
        <w:t xml:space="preserve">CHANG, A. UTAUT and UTAUT 2: A Review and Agenda for Future Research. </w:t>
      </w:r>
      <w:r w:rsidRPr="00374ADF">
        <w:rPr>
          <w:rFonts w:cs="Times New Roman"/>
          <w:b/>
          <w:bCs/>
          <w:noProof/>
          <w:szCs w:val="24"/>
          <w:lang w:val="en-US"/>
        </w:rPr>
        <w:t>The Winners</w:t>
      </w:r>
      <w:r w:rsidRPr="00374ADF">
        <w:rPr>
          <w:rFonts w:cs="Times New Roman"/>
          <w:noProof/>
          <w:szCs w:val="24"/>
          <w:lang w:val="en-US"/>
        </w:rPr>
        <w:t xml:space="preserve">, v. 13, n. 2, p. 10, 28 set. 2012. </w:t>
      </w:r>
    </w:p>
    <w:p w14:paraId="2130D8A6"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noProof/>
          <w:szCs w:val="24"/>
          <w:lang w:val="en-US"/>
        </w:rPr>
        <w:t xml:space="preserve">CHAUHAN, S.; JAISWAL, M. Determinants of acceptance of ERP software training in business schools: Empirical investigation using UTAUT model. </w:t>
      </w:r>
      <w:r w:rsidRPr="00374ADF">
        <w:rPr>
          <w:rFonts w:cs="Times New Roman"/>
          <w:b/>
          <w:bCs/>
          <w:noProof/>
          <w:szCs w:val="24"/>
          <w:lang w:val="en-US"/>
        </w:rPr>
        <w:t>The International Journal of Management Education</w:t>
      </w:r>
      <w:r w:rsidRPr="00374ADF">
        <w:rPr>
          <w:rFonts w:cs="Times New Roman"/>
          <w:noProof/>
          <w:szCs w:val="24"/>
          <w:lang w:val="en-US"/>
        </w:rPr>
        <w:t>, v. 14, n. 3, p. 248–262, nov. 2016.</w:t>
      </w:r>
    </w:p>
    <w:p w14:paraId="69F409FB"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CHIN, W. W. </w:t>
      </w:r>
      <w:r w:rsidRPr="00374ADF">
        <w:rPr>
          <w:rFonts w:cs="Times New Roman"/>
          <w:b/>
          <w:bCs/>
          <w:szCs w:val="24"/>
          <w:lang w:val="en-US"/>
        </w:rPr>
        <w:t>The partial least squares approach for structural equation modeling</w:t>
      </w:r>
      <w:r w:rsidRPr="00374ADF">
        <w:rPr>
          <w:rFonts w:cs="Times New Roman"/>
          <w:szCs w:val="24"/>
          <w:lang w:val="en-US"/>
        </w:rPr>
        <w:t xml:space="preserve">. in </w:t>
      </w:r>
      <w:proofErr w:type="spellStart"/>
      <w:r w:rsidRPr="00374ADF">
        <w:rPr>
          <w:rFonts w:cs="Times New Roman"/>
          <w:szCs w:val="24"/>
          <w:lang w:val="en-US"/>
        </w:rPr>
        <w:t>Marcoulides</w:t>
      </w:r>
      <w:proofErr w:type="spellEnd"/>
      <w:r w:rsidRPr="00374ADF">
        <w:rPr>
          <w:rFonts w:cs="Times New Roman"/>
          <w:szCs w:val="24"/>
          <w:lang w:val="en-US"/>
        </w:rPr>
        <w:t xml:space="preserve">, G.A. (Ed.). Modern methods for business research. London: Lawrence Erlbaum Associates, p. 295- 236, 1998. </w:t>
      </w:r>
    </w:p>
    <w:p w14:paraId="522FCC6E"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CHOU, S.; CHEN, P. The influence of individual differences on continuance intentions of enterprise resource planning (ERP). </w:t>
      </w:r>
      <w:r w:rsidRPr="00374ADF">
        <w:rPr>
          <w:rFonts w:cs="Times New Roman"/>
          <w:b/>
          <w:bCs/>
          <w:szCs w:val="24"/>
          <w:lang w:val="en-US"/>
        </w:rPr>
        <w:t>International Journal of Human-Computer Studies</w:t>
      </w:r>
      <w:r w:rsidRPr="00374ADF">
        <w:rPr>
          <w:rFonts w:cs="Times New Roman"/>
          <w:szCs w:val="24"/>
          <w:lang w:val="en-US"/>
        </w:rPr>
        <w:t xml:space="preserve">, v. 67, n. 6, p. 484–496, jun. 2009. </w:t>
      </w:r>
    </w:p>
    <w:p w14:paraId="0EC28788"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CHRIST, K. L.; BURRITT, R. L. Material flow cost accounting: A review and agenda for future research. </w:t>
      </w:r>
      <w:r w:rsidRPr="00374ADF">
        <w:rPr>
          <w:rFonts w:cs="Times New Roman"/>
          <w:b/>
          <w:bCs/>
          <w:szCs w:val="24"/>
          <w:lang w:val="en-US"/>
        </w:rPr>
        <w:t>Journal of Cleaner Production</w:t>
      </w:r>
      <w:r w:rsidRPr="00374ADF">
        <w:rPr>
          <w:rFonts w:cs="Times New Roman"/>
          <w:szCs w:val="24"/>
          <w:lang w:val="en-US"/>
        </w:rPr>
        <w:t xml:space="preserve">. Elsevier Ltd, 1 </w:t>
      </w:r>
      <w:proofErr w:type="spellStart"/>
      <w:r w:rsidRPr="00374ADF">
        <w:rPr>
          <w:rFonts w:cs="Times New Roman"/>
          <w:szCs w:val="24"/>
          <w:lang w:val="en-US"/>
        </w:rPr>
        <w:t>dez</w:t>
      </w:r>
      <w:proofErr w:type="spellEnd"/>
      <w:r w:rsidRPr="00374ADF">
        <w:rPr>
          <w:rFonts w:cs="Times New Roman"/>
          <w:szCs w:val="24"/>
          <w:lang w:val="en-US"/>
        </w:rPr>
        <w:t xml:space="preserve">. 2015. </w:t>
      </w:r>
    </w:p>
    <w:p w14:paraId="57D631A4"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COHEN, J. </w:t>
      </w:r>
      <w:r w:rsidRPr="00374ADF">
        <w:rPr>
          <w:rFonts w:cs="Times New Roman"/>
          <w:b/>
          <w:bCs/>
          <w:szCs w:val="24"/>
          <w:lang w:val="en-US"/>
        </w:rPr>
        <w:t>Statistical Power Analysis for the Behavioral Sciences</w:t>
      </w:r>
      <w:r w:rsidRPr="00374ADF">
        <w:rPr>
          <w:rFonts w:cs="Times New Roman"/>
          <w:szCs w:val="24"/>
          <w:lang w:val="en-US"/>
        </w:rPr>
        <w:t>. 2nd ed. New York: Psychology Press, 1988.</w:t>
      </w:r>
    </w:p>
    <w:p w14:paraId="4F3B341F"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lastRenderedPageBreak/>
        <w:t xml:space="preserve">COMPEAU, D. R., and HIGGINS, C. A. </w:t>
      </w:r>
      <w:r w:rsidRPr="00374ADF">
        <w:rPr>
          <w:rFonts w:cs="Times New Roman"/>
          <w:b/>
          <w:szCs w:val="24"/>
          <w:lang w:val="en-US"/>
        </w:rPr>
        <w:t>“Application of Social Cognitive Theory to Training for Computer Skills,”</w:t>
      </w:r>
      <w:r w:rsidRPr="00374ADF">
        <w:rPr>
          <w:rFonts w:cs="Times New Roman"/>
          <w:szCs w:val="24"/>
          <w:lang w:val="en-US"/>
        </w:rPr>
        <w:t xml:space="preserve"> Information Systems Research (6:2), 1995a, pp. 118-143.</w:t>
      </w:r>
    </w:p>
    <w:p w14:paraId="2D4B7768"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COMPEAU, D. R., and HIGGINS, C. A. </w:t>
      </w:r>
      <w:r w:rsidRPr="00374ADF">
        <w:rPr>
          <w:rFonts w:cs="Times New Roman"/>
          <w:b/>
          <w:szCs w:val="24"/>
          <w:lang w:val="en-US"/>
        </w:rPr>
        <w:t>“Computer Self-Efficacy: Development of a Measure and Initial Test,”</w:t>
      </w:r>
      <w:r w:rsidRPr="00374ADF">
        <w:rPr>
          <w:rFonts w:cs="Times New Roman"/>
          <w:szCs w:val="24"/>
          <w:lang w:val="en-US"/>
        </w:rPr>
        <w:t xml:space="preserve"> MIS Quarterly (19:2), 1995b, pp. 189-211.</w:t>
      </w:r>
    </w:p>
    <w:p w14:paraId="4330AB12" w14:textId="77777777" w:rsidR="00BC7604" w:rsidRPr="00374ADF" w:rsidRDefault="00BC7604" w:rsidP="00BC7604">
      <w:pPr>
        <w:widowControl w:val="0"/>
        <w:autoSpaceDE w:val="0"/>
        <w:autoSpaceDN w:val="0"/>
        <w:adjustRightInd w:val="0"/>
        <w:spacing w:afterLines="60" w:after="144" w:line="360" w:lineRule="auto"/>
        <w:jc w:val="both"/>
        <w:rPr>
          <w:rFonts w:cs="Times New Roman"/>
          <w:noProof/>
          <w:szCs w:val="24"/>
          <w:lang w:val="en-US"/>
        </w:rPr>
      </w:pPr>
      <w:r w:rsidRPr="00374ADF">
        <w:rPr>
          <w:rFonts w:cs="Times New Roman"/>
          <w:noProof/>
          <w:szCs w:val="24"/>
          <w:lang w:val="en-US"/>
        </w:rPr>
        <w:t xml:space="preserve">DWIVEDI, Y. K. </w:t>
      </w:r>
      <w:r>
        <w:rPr>
          <w:rFonts w:cs="Times New Roman"/>
          <w:noProof/>
          <w:szCs w:val="24"/>
          <w:lang w:val="en-US"/>
        </w:rPr>
        <w:t>et al.</w:t>
      </w:r>
      <w:r w:rsidRPr="00374ADF">
        <w:rPr>
          <w:rFonts w:cs="Times New Roman"/>
          <w:noProof/>
          <w:szCs w:val="24"/>
          <w:lang w:val="en-US"/>
        </w:rPr>
        <w:t xml:space="preserve"> A Meta-analysis of the Unified Theory of Acceptance and Use of Technology (UTAUT). In: </w:t>
      </w:r>
      <w:r w:rsidRPr="00374ADF">
        <w:rPr>
          <w:rFonts w:cs="Times New Roman"/>
          <w:b/>
          <w:bCs/>
          <w:noProof/>
          <w:szCs w:val="24"/>
          <w:lang w:val="en-US"/>
        </w:rPr>
        <w:t>Governance and Sustainability in IS</w:t>
      </w:r>
      <w:r w:rsidRPr="00374ADF">
        <w:rPr>
          <w:rFonts w:cs="Times New Roman"/>
          <w:noProof/>
          <w:szCs w:val="24"/>
          <w:lang w:val="en-US"/>
        </w:rPr>
        <w:t xml:space="preserve">. 1. ed. [s.l.] IFIP International Federation for Information Processing, 2011. p. 155–170. </w:t>
      </w:r>
    </w:p>
    <w:p w14:paraId="3D1FA6A8"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noProof/>
          <w:szCs w:val="24"/>
          <w:lang w:val="en-US"/>
        </w:rPr>
        <w:t xml:space="preserve">DWIVEDI, Y. K. </w:t>
      </w:r>
      <w:r>
        <w:rPr>
          <w:rFonts w:cs="Times New Roman"/>
          <w:noProof/>
          <w:szCs w:val="24"/>
          <w:lang w:val="en-US"/>
        </w:rPr>
        <w:t>et al.</w:t>
      </w:r>
      <w:r w:rsidRPr="00374ADF">
        <w:rPr>
          <w:rFonts w:cs="Times New Roman"/>
          <w:noProof/>
          <w:szCs w:val="24"/>
          <w:lang w:val="en-US"/>
        </w:rPr>
        <w:t xml:space="preserve"> Re-examining the Unified Theory of Acceptance and Use of Technology (UTAUT): Towards a Revised Theoretical Model. </w:t>
      </w:r>
      <w:r w:rsidRPr="006C5B4E">
        <w:rPr>
          <w:rFonts w:cs="Times New Roman"/>
          <w:b/>
          <w:bCs/>
          <w:noProof/>
          <w:szCs w:val="24"/>
          <w:lang w:val="en-US"/>
        </w:rPr>
        <w:t>Information Systems Frontiers</w:t>
      </w:r>
      <w:r w:rsidRPr="006C5B4E">
        <w:rPr>
          <w:rFonts w:cs="Times New Roman"/>
          <w:noProof/>
          <w:szCs w:val="24"/>
          <w:lang w:val="en-US"/>
        </w:rPr>
        <w:t>, v. 21, n. 3, p. 719–734, 8 jun. 2019.</w:t>
      </w:r>
    </w:p>
    <w:p w14:paraId="02496210"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DAVIS, F. D. </w:t>
      </w:r>
      <w:r w:rsidRPr="00374ADF">
        <w:rPr>
          <w:rFonts w:cs="Times New Roman"/>
          <w:b/>
          <w:szCs w:val="24"/>
          <w:lang w:val="en-US"/>
        </w:rPr>
        <w:t>Perceived Usefulness, Perceived Ease of Use, and User Acceptance of Information Technology.</w:t>
      </w:r>
      <w:r w:rsidRPr="00374ADF">
        <w:rPr>
          <w:rFonts w:cs="Times New Roman"/>
          <w:szCs w:val="24"/>
          <w:lang w:val="en-US"/>
        </w:rPr>
        <w:t xml:space="preserve"> MIS Quarterly, v. 13, n. 3, pp. 318-340, 1989.</w:t>
      </w:r>
    </w:p>
    <w:p w14:paraId="5443A9EC"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DAVIS, F. D.; BAGOZZI, R. P.; WARSHAW, P. R. </w:t>
      </w:r>
      <w:r w:rsidRPr="00374ADF">
        <w:rPr>
          <w:rFonts w:cs="Times New Roman"/>
          <w:b/>
          <w:szCs w:val="24"/>
          <w:lang w:val="en-US"/>
        </w:rPr>
        <w:t>User Acceptance of Computer Technology: a comparison of two theoretical models.</w:t>
      </w:r>
      <w:r w:rsidRPr="00374ADF">
        <w:rPr>
          <w:rFonts w:cs="Times New Roman"/>
          <w:szCs w:val="24"/>
          <w:lang w:val="en-US"/>
        </w:rPr>
        <w:t xml:space="preserve"> Management Science, v. 35, n. 8, pp. 982-1003, 1989. </w:t>
      </w:r>
    </w:p>
    <w:p w14:paraId="42DA9FB9"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DODDS, W. B., MONROE, K. B., and GREWAL, D. 1991</w:t>
      </w:r>
      <w:r w:rsidRPr="00374ADF">
        <w:rPr>
          <w:rFonts w:cs="Times New Roman"/>
          <w:b/>
          <w:szCs w:val="24"/>
          <w:lang w:val="en-US"/>
        </w:rPr>
        <w:t>. “Effects of Price, Brand, and Store Information on Buyers,”</w:t>
      </w:r>
      <w:r w:rsidRPr="00374ADF">
        <w:rPr>
          <w:rFonts w:cs="Times New Roman"/>
          <w:szCs w:val="24"/>
          <w:lang w:val="en-US"/>
        </w:rPr>
        <w:t xml:space="preserve"> Journal of Marketing Research (28:3), pp. 307-319.</w:t>
      </w:r>
    </w:p>
    <w:p w14:paraId="582E56A5"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noProof/>
          <w:szCs w:val="24"/>
          <w:lang w:val="en-US"/>
        </w:rPr>
        <w:t xml:space="preserve">EL-MASRI, M.; LANE, P. L.; CRAIG, S. L. The Determinants of Student Effort at Learning ERP : A Cultural Perspective. </w:t>
      </w:r>
      <w:r w:rsidRPr="006C5B4E">
        <w:rPr>
          <w:rFonts w:cs="Times New Roman"/>
          <w:b/>
          <w:bCs/>
          <w:noProof/>
          <w:szCs w:val="24"/>
          <w:lang w:val="en-US"/>
        </w:rPr>
        <w:t>Journal of Information Systems Education</w:t>
      </w:r>
      <w:r w:rsidRPr="006C5B4E">
        <w:rPr>
          <w:rFonts w:cs="Times New Roman"/>
          <w:noProof/>
          <w:szCs w:val="24"/>
          <w:lang w:val="en-US"/>
        </w:rPr>
        <w:t>, v. 26, n. 2, p. 117–134, 2015.</w:t>
      </w:r>
    </w:p>
    <w:p w14:paraId="04BEDB00"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FAUL, F., ERDFELDER, E., BUCHNER, A. e Lang, A.-G. Statistical power analyses using G*Power 3.1: Tests for correlation and regression analyses. </w:t>
      </w:r>
      <w:r w:rsidRPr="00374ADF">
        <w:rPr>
          <w:rFonts w:cs="Times New Roman"/>
          <w:b/>
          <w:bCs/>
          <w:szCs w:val="24"/>
          <w:lang w:val="en-US"/>
        </w:rPr>
        <w:t>Behavior Research Methods</w:t>
      </w:r>
      <w:r w:rsidRPr="00374ADF">
        <w:rPr>
          <w:rFonts w:cs="Times New Roman"/>
          <w:szCs w:val="24"/>
          <w:lang w:val="en-US"/>
        </w:rPr>
        <w:t xml:space="preserve">, v. 41, 1149-1160, 2009. </w:t>
      </w:r>
      <w:hyperlink r:id="rId8" w:history="1">
        <w:r w:rsidRPr="00374ADF">
          <w:rPr>
            <w:rFonts w:cs="Times New Roman"/>
            <w:szCs w:val="24"/>
            <w:lang w:val="en-US"/>
          </w:rPr>
          <w:t>https://link.springer.com/article/10.3758/BRM.41.4.1149</w:t>
        </w:r>
      </w:hyperlink>
      <w:r w:rsidRPr="00374ADF">
        <w:rPr>
          <w:rFonts w:cs="Times New Roman"/>
          <w:szCs w:val="24"/>
          <w:lang w:val="en-US"/>
        </w:rPr>
        <w:t>.</w:t>
      </w:r>
    </w:p>
    <w:p w14:paraId="28E4476C"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noProof/>
          <w:szCs w:val="24"/>
          <w:lang w:val="en-US"/>
        </w:rPr>
        <w:t xml:space="preserve">FISHBEIN, M.; AJZEN, I. </w:t>
      </w:r>
      <w:r w:rsidRPr="00374ADF">
        <w:rPr>
          <w:rFonts w:cs="Times New Roman"/>
          <w:b/>
          <w:bCs/>
          <w:noProof/>
          <w:szCs w:val="24"/>
          <w:lang w:val="en-US"/>
        </w:rPr>
        <w:t>Belief, attitude, intention and behaviour: an introduction to theory and research</w:t>
      </w:r>
      <w:r w:rsidRPr="00374ADF">
        <w:rPr>
          <w:rFonts w:cs="Times New Roman"/>
          <w:noProof/>
          <w:szCs w:val="24"/>
          <w:lang w:val="en-US"/>
        </w:rPr>
        <w:t xml:space="preserve">. </w:t>
      </w:r>
      <w:r w:rsidRPr="006C5B4E">
        <w:rPr>
          <w:rFonts w:cs="Times New Roman"/>
          <w:noProof/>
          <w:szCs w:val="24"/>
          <w:lang w:val="en-US"/>
        </w:rPr>
        <w:t>[s.l.] Addison-Wesley Publishing Company, 1975.</w:t>
      </w:r>
    </w:p>
    <w:p w14:paraId="5894CB75" w14:textId="77777777" w:rsidR="00BC7604" w:rsidRPr="00374ADF" w:rsidRDefault="00BC7604" w:rsidP="00BC7604">
      <w:pPr>
        <w:spacing w:afterLines="60" w:after="144" w:line="360" w:lineRule="auto"/>
        <w:jc w:val="both"/>
        <w:rPr>
          <w:rFonts w:cs="Times New Roman"/>
          <w:szCs w:val="24"/>
          <w:lang w:val="en-US"/>
        </w:rPr>
      </w:pPr>
      <w:bookmarkStart w:id="1" w:name="_Hlk16158135"/>
      <w:r w:rsidRPr="00374ADF">
        <w:rPr>
          <w:rFonts w:cs="Times New Roman"/>
          <w:szCs w:val="24"/>
          <w:lang w:val="en-US"/>
        </w:rPr>
        <w:t xml:space="preserve">FORNELL, C.; LARCKER, D.F. Evaluating structural equation models with unobservable variables and measurement error. </w:t>
      </w:r>
      <w:r w:rsidRPr="00374ADF">
        <w:rPr>
          <w:rFonts w:cs="Times New Roman"/>
          <w:b/>
          <w:bCs/>
          <w:szCs w:val="24"/>
          <w:lang w:val="en-US"/>
        </w:rPr>
        <w:t>Journal of Marketing Research</w:t>
      </w:r>
      <w:r w:rsidRPr="00374ADF">
        <w:rPr>
          <w:rFonts w:cs="Times New Roman"/>
          <w:szCs w:val="24"/>
          <w:lang w:val="en-US"/>
        </w:rPr>
        <w:t xml:space="preserve">. v.18, n. 1, p. 39-50, 1981. </w:t>
      </w:r>
      <w:hyperlink r:id="rId9" w:history="1">
        <w:r w:rsidRPr="00374ADF">
          <w:rPr>
            <w:rFonts w:cs="Times New Roman"/>
            <w:szCs w:val="24"/>
            <w:lang w:val="en-US"/>
          </w:rPr>
          <w:t>https://www.jstor.org/stable/3151312</w:t>
        </w:r>
      </w:hyperlink>
      <w:r w:rsidRPr="00374ADF">
        <w:rPr>
          <w:rFonts w:cs="Times New Roman"/>
          <w:szCs w:val="24"/>
          <w:lang w:val="en-US"/>
        </w:rPr>
        <w:t xml:space="preserve"> </w:t>
      </w:r>
    </w:p>
    <w:bookmarkEnd w:id="1"/>
    <w:p w14:paraId="5F4E1D72"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lastRenderedPageBreak/>
        <w:t xml:space="preserve">GEISSER, S. A Predictive Approach to the Random Effects Model, </w:t>
      </w:r>
      <w:proofErr w:type="spellStart"/>
      <w:r w:rsidRPr="00374ADF">
        <w:rPr>
          <w:rFonts w:cs="Times New Roman"/>
          <w:b/>
          <w:bCs/>
          <w:szCs w:val="24"/>
          <w:lang w:val="en-US"/>
        </w:rPr>
        <w:t>Biometrika</w:t>
      </w:r>
      <w:proofErr w:type="spellEnd"/>
      <w:r w:rsidRPr="00374ADF">
        <w:rPr>
          <w:rFonts w:cs="Times New Roman"/>
          <w:szCs w:val="24"/>
          <w:lang w:val="en-US"/>
        </w:rPr>
        <w:t xml:space="preserve">, 61(1): 101-107. 1974. </w:t>
      </w:r>
      <w:hyperlink r:id="rId10" w:history="1">
        <w:r w:rsidRPr="00374ADF">
          <w:rPr>
            <w:rFonts w:cs="Times New Roman"/>
            <w:szCs w:val="24"/>
            <w:lang w:val="en-US"/>
          </w:rPr>
          <w:t>https://academic.oup.com/biomet/article-abstract/61/1/101/264348?redirectedFrom=fulltext</w:t>
        </w:r>
      </w:hyperlink>
      <w:r w:rsidRPr="00374ADF">
        <w:rPr>
          <w:rFonts w:cs="Times New Roman"/>
          <w:szCs w:val="24"/>
          <w:lang w:val="en-US"/>
        </w:rPr>
        <w:t xml:space="preserve"> </w:t>
      </w:r>
    </w:p>
    <w:p w14:paraId="52CC855D"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HABERKORN, E. M. </w:t>
      </w:r>
      <w:r w:rsidRPr="00374ADF">
        <w:rPr>
          <w:rFonts w:cs="Times New Roman"/>
          <w:b/>
          <w:bCs/>
          <w:szCs w:val="24"/>
          <w:lang w:val="en-US"/>
        </w:rPr>
        <w:t>Teoria do ERP - Enterprise Resource Planning</w:t>
      </w:r>
      <w:r w:rsidRPr="00374ADF">
        <w:rPr>
          <w:rFonts w:cs="Times New Roman"/>
          <w:szCs w:val="24"/>
          <w:lang w:val="en-US"/>
        </w:rPr>
        <w:t xml:space="preserve">. 2. ed. São Paulo: </w:t>
      </w:r>
      <w:proofErr w:type="spellStart"/>
      <w:r w:rsidRPr="00374ADF">
        <w:rPr>
          <w:rFonts w:cs="Times New Roman"/>
          <w:szCs w:val="24"/>
          <w:lang w:val="en-US"/>
        </w:rPr>
        <w:t>Makron</w:t>
      </w:r>
      <w:proofErr w:type="spellEnd"/>
      <w:r w:rsidRPr="00374ADF">
        <w:rPr>
          <w:rFonts w:cs="Times New Roman"/>
          <w:szCs w:val="24"/>
          <w:lang w:val="en-US"/>
        </w:rPr>
        <w:t xml:space="preserve"> Books, 1999. </w:t>
      </w:r>
    </w:p>
    <w:p w14:paraId="0B2530A8"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HAIR, J. F., Hult, G. T. M., Ringle, C. M., and Sarstedt, M. (2017). </w:t>
      </w:r>
      <w:r w:rsidRPr="00374ADF">
        <w:rPr>
          <w:rFonts w:cs="Times New Roman"/>
          <w:b/>
          <w:bCs/>
          <w:szCs w:val="24"/>
          <w:lang w:val="en-US"/>
        </w:rPr>
        <w:t>A Primer on Partial Least Squares Structural Equation Modeling (PLS-SEM)</w:t>
      </w:r>
      <w:r w:rsidRPr="00374ADF">
        <w:rPr>
          <w:rFonts w:cs="Times New Roman"/>
          <w:szCs w:val="24"/>
          <w:lang w:val="en-US"/>
        </w:rPr>
        <w:t>, 2nd Ed., Sage: Thousand Oaks.</w:t>
      </w:r>
    </w:p>
    <w:p w14:paraId="2CC857C7"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HAIR, J.F.; Hult, T.M.; Ringle, C.M. e Sarstedt, M. </w:t>
      </w:r>
      <w:r w:rsidRPr="00374ADF">
        <w:rPr>
          <w:rFonts w:cs="Times New Roman"/>
          <w:b/>
          <w:bCs/>
          <w:szCs w:val="24"/>
          <w:lang w:val="en-US"/>
        </w:rPr>
        <w:t>A Primer on Partial Least Squares Structural Equation Modeling (PLS-SEM)</w:t>
      </w:r>
      <w:r w:rsidRPr="00374ADF">
        <w:rPr>
          <w:rFonts w:cs="Times New Roman"/>
          <w:szCs w:val="24"/>
          <w:lang w:val="en-US"/>
        </w:rPr>
        <w:t>. Los Angeles: SAGE, 2014.</w:t>
      </w:r>
    </w:p>
    <w:p w14:paraId="1CDC305B"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HENSELER, J., RINGLE, C. M; SINKOVICS, R. R. The Use of Partial Least Squares Path Modeling in International Marketing, </w:t>
      </w:r>
      <w:r w:rsidRPr="00374ADF">
        <w:rPr>
          <w:rFonts w:cs="Times New Roman"/>
          <w:b/>
          <w:bCs/>
          <w:szCs w:val="24"/>
          <w:lang w:val="en-US"/>
        </w:rPr>
        <w:t>Advances in International Marketing</w:t>
      </w:r>
      <w:r w:rsidRPr="00374ADF">
        <w:rPr>
          <w:rFonts w:cs="Times New Roman"/>
          <w:szCs w:val="24"/>
          <w:lang w:val="en-US"/>
        </w:rPr>
        <w:t xml:space="preserve">, 20: 277-320. 2009.  </w:t>
      </w:r>
      <w:hyperlink r:id="rId11" w:history="1">
        <w:r w:rsidRPr="00374ADF">
          <w:rPr>
            <w:rFonts w:cs="Times New Roman"/>
            <w:szCs w:val="24"/>
            <w:lang w:val="en-US"/>
          </w:rPr>
          <w:t>https://www.emerald.com/insight/content/doi/10.1108/S1474-7979(2009)0000020014/full/html</w:t>
        </w:r>
      </w:hyperlink>
    </w:p>
    <w:p w14:paraId="4637DC57"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HOLBROOK, M. B., and HIRSCHMAN, E. C. 1982. </w:t>
      </w:r>
      <w:r w:rsidRPr="00374ADF">
        <w:rPr>
          <w:rFonts w:cs="Times New Roman"/>
          <w:b/>
          <w:szCs w:val="24"/>
          <w:lang w:val="en-US"/>
        </w:rPr>
        <w:t>“The Experiential Aspects of Consumption: Consumer Fantasies, Feelings, and Fun,”</w:t>
      </w:r>
      <w:r w:rsidRPr="00374ADF">
        <w:rPr>
          <w:rFonts w:cs="Times New Roman"/>
          <w:szCs w:val="24"/>
          <w:lang w:val="en-US"/>
        </w:rPr>
        <w:t xml:space="preserve"> Journal of Consumer Research (9:2), pp. 132-140.</w:t>
      </w:r>
    </w:p>
    <w:p w14:paraId="680CC1CE"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JOHNSON, R. D.; MARAKAS, G. M. </w:t>
      </w:r>
      <w:r w:rsidRPr="00374ADF">
        <w:rPr>
          <w:rFonts w:cs="Times New Roman"/>
          <w:b/>
          <w:szCs w:val="24"/>
          <w:lang w:val="en-US"/>
        </w:rPr>
        <w:t>Research Report: The Role of Behavioral Modeling in Computer Skills Acquisition: Toward Refinement of the Model. Information Systems Research,</w:t>
      </w:r>
      <w:r w:rsidRPr="00374ADF">
        <w:rPr>
          <w:rFonts w:cs="Times New Roman"/>
          <w:szCs w:val="24"/>
          <w:lang w:val="en-US"/>
        </w:rPr>
        <w:t xml:space="preserve"> v. 11, pp. 402-417, 2000.</w:t>
      </w:r>
    </w:p>
    <w:p w14:paraId="4C73F19F"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JONES, M. C.; ZMUD, R. W.; CLARK, T. D. ERP in Practice: A Snapshot of Post-Installation Perception and Behaviors. </w:t>
      </w:r>
      <w:r w:rsidRPr="00374ADF">
        <w:rPr>
          <w:rFonts w:cs="Times New Roman"/>
          <w:b/>
          <w:bCs/>
          <w:szCs w:val="24"/>
          <w:lang w:val="en-US"/>
        </w:rPr>
        <w:t>Communications of the Association for Information Systems,</w:t>
      </w:r>
      <w:r w:rsidRPr="00374ADF">
        <w:rPr>
          <w:rFonts w:cs="Times New Roman"/>
          <w:szCs w:val="24"/>
          <w:lang w:val="en-US"/>
        </w:rPr>
        <w:t xml:space="preserve"> v. 23, p. 462, 2008. </w:t>
      </w:r>
    </w:p>
    <w:p w14:paraId="17094F49"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KOIVISTO, J.; HAMARI, J. The rise of motivational information systems: A review of gamification research. </w:t>
      </w:r>
      <w:r w:rsidRPr="00374ADF">
        <w:rPr>
          <w:rFonts w:cs="Times New Roman"/>
          <w:b/>
          <w:bCs/>
          <w:szCs w:val="24"/>
          <w:lang w:val="en-US"/>
        </w:rPr>
        <w:t>International Journal of Information Management</w:t>
      </w:r>
      <w:r w:rsidRPr="00374ADF">
        <w:rPr>
          <w:rFonts w:cs="Times New Roman"/>
          <w:szCs w:val="24"/>
          <w:lang w:val="en-US"/>
        </w:rPr>
        <w:t>, Elsevier Ltd</w:t>
      </w:r>
      <w:proofErr w:type="gramStart"/>
      <w:r w:rsidRPr="00374ADF">
        <w:rPr>
          <w:rFonts w:cs="Times New Roman"/>
          <w:szCs w:val="24"/>
          <w:lang w:val="en-US"/>
        </w:rPr>
        <w:t>, ,</w:t>
      </w:r>
      <w:proofErr w:type="gramEnd"/>
      <w:r w:rsidRPr="00374ADF">
        <w:rPr>
          <w:rFonts w:cs="Times New Roman"/>
          <w:szCs w:val="24"/>
          <w:lang w:val="en-US"/>
        </w:rPr>
        <w:t xml:space="preserve"> 1 abr. 2019. </w:t>
      </w:r>
    </w:p>
    <w:p w14:paraId="5B3353EC"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LIMAYEM, M., HIRT, S. G., and CHEUNG, C. M. K. 2007. </w:t>
      </w:r>
      <w:r w:rsidRPr="00374ADF">
        <w:rPr>
          <w:rFonts w:cs="Times New Roman"/>
          <w:b/>
          <w:szCs w:val="24"/>
          <w:lang w:val="en-US"/>
        </w:rPr>
        <w:t>“How Habit Limits the Predictive Power of Intentions: The Case of IS Continuance,”</w:t>
      </w:r>
      <w:r w:rsidRPr="00374ADF">
        <w:rPr>
          <w:rFonts w:cs="Times New Roman"/>
          <w:szCs w:val="24"/>
          <w:lang w:val="en-US"/>
        </w:rPr>
        <w:t xml:space="preserve"> MIS Quarterly (31:4), pp. 705-737.</w:t>
      </w:r>
    </w:p>
    <w:p w14:paraId="5B276B9C"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noProof/>
          <w:szCs w:val="24"/>
          <w:lang w:val="en-US"/>
        </w:rPr>
        <w:lastRenderedPageBreak/>
        <w:t xml:space="preserve">LING KEONG, M. </w:t>
      </w:r>
      <w:r>
        <w:rPr>
          <w:rFonts w:cs="Times New Roman"/>
          <w:noProof/>
          <w:szCs w:val="24"/>
          <w:lang w:val="en-US"/>
        </w:rPr>
        <w:t>et al.</w:t>
      </w:r>
      <w:r w:rsidRPr="00374ADF">
        <w:rPr>
          <w:rFonts w:cs="Times New Roman"/>
          <w:noProof/>
          <w:szCs w:val="24"/>
          <w:lang w:val="en-US"/>
        </w:rPr>
        <w:t xml:space="preserve"> Explaining intention to use an enterprise resource planning (ERP) system: an extension of the UTAUT model. </w:t>
      </w:r>
      <w:r w:rsidRPr="006C5B4E">
        <w:rPr>
          <w:rFonts w:cs="Times New Roman"/>
          <w:b/>
          <w:bCs/>
          <w:noProof/>
          <w:szCs w:val="24"/>
          <w:lang w:val="en-US"/>
        </w:rPr>
        <w:t>Business Strategy Series</w:t>
      </w:r>
      <w:r w:rsidRPr="006C5B4E">
        <w:rPr>
          <w:rFonts w:cs="Times New Roman"/>
          <w:noProof/>
          <w:szCs w:val="24"/>
          <w:lang w:val="en-US"/>
        </w:rPr>
        <w:t>, v. 13, n. 4, p. 173–180, 29 jun. 2012.</w:t>
      </w:r>
    </w:p>
    <w:p w14:paraId="12582893"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MCKAY, K. N.; BLACK, G. W. The evolution of a production planning system: A 10-year case study. </w:t>
      </w:r>
      <w:r w:rsidRPr="00374ADF">
        <w:rPr>
          <w:rFonts w:cs="Times New Roman"/>
          <w:b/>
          <w:bCs/>
          <w:szCs w:val="24"/>
          <w:lang w:val="en-US"/>
        </w:rPr>
        <w:t>Computers in Industry</w:t>
      </w:r>
      <w:r w:rsidRPr="00374ADF">
        <w:rPr>
          <w:rFonts w:cs="Times New Roman"/>
          <w:szCs w:val="24"/>
          <w:lang w:val="en-US"/>
        </w:rPr>
        <w:t xml:space="preserve">, v. 58, n. 8–9, p. 756–771, 1 </w:t>
      </w:r>
      <w:proofErr w:type="spellStart"/>
      <w:r w:rsidRPr="00374ADF">
        <w:rPr>
          <w:rFonts w:cs="Times New Roman"/>
          <w:szCs w:val="24"/>
          <w:lang w:val="en-US"/>
        </w:rPr>
        <w:t>dez</w:t>
      </w:r>
      <w:proofErr w:type="spellEnd"/>
      <w:r w:rsidRPr="00374ADF">
        <w:rPr>
          <w:rFonts w:cs="Times New Roman"/>
          <w:szCs w:val="24"/>
          <w:lang w:val="en-US"/>
        </w:rPr>
        <w:t xml:space="preserve">. 2007. </w:t>
      </w:r>
    </w:p>
    <w:p w14:paraId="5B194E44"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MOORE, G. C. BENBASAT, I</w:t>
      </w:r>
      <w:r w:rsidRPr="00374ADF">
        <w:rPr>
          <w:rFonts w:cs="Times New Roman"/>
          <w:b/>
          <w:szCs w:val="24"/>
          <w:lang w:val="en-US"/>
        </w:rPr>
        <w:t>. Integrating Diffusion of Innovation and Theory of Reasoned Action Models to Predict Utilization of Information Technology by End-Users.</w:t>
      </w:r>
      <w:r w:rsidRPr="00374ADF">
        <w:rPr>
          <w:rFonts w:cs="Times New Roman"/>
          <w:szCs w:val="24"/>
          <w:lang w:val="en-US"/>
        </w:rPr>
        <w:t xml:space="preserve"> In: KAUTZ, K.; PRIES-HEJE, J. Diffusion and Adaption of Information Technology. Chapman &amp; Hall, London: pp. 132-146, 1996. </w:t>
      </w:r>
    </w:p>
    <w:p w14:paraId="74DC6FC0" w14:textId="77777777" w:rsidR="00BC7604" w:rsidRPr="009C540D"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MOORE, G. C.; BENBASAT, I. </w:t>
      </w:r>
      <w:r w:rsidRPr="00374ADF">
        <w:rPr>
          <w:rFonts w:cs="Times New Roman"/>
          <w:b/>
          <w:szCs w:val="24"/>
          <w:lang w:val="en-US"/>
        </w:rPr>
        <w:t xml:space="preserve">Development of an instrument to measure the perceptions of adopting an information technology innovation. </w:t>
      </w:r>
      <w:r w:rsidRPr="009C540D">
        <w:rPr>
          <w:rFonts w:cs="Times New Roman"/>
          <w:b/>
          <w:szCs w:val="24"/>
          <w:lang w:val="en-US"/>
        </w:rPr>
        <w:t>Information Systems Research</w:t>
      </w:r>
      <w:r w:rsidRPr="009C540D">
        <w:rPr>
          <w:rFonts w:cs="Times New Roman"/>
          <w:szCs w:val="24"/>
          <w:lang w:val="en-US"/>
        </w:rPr>
        <w:t>, v. 2, n. 3, pp. 192-222, 1991.</w:t>
      </w:r>
    </w:p>
    <w:p w14:paraId="47B80BEA"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OESTERREICH, T. D.; TEUTEBERG, F. Understanding the implications of </w:t>
      </w:r>
      <w:proofErr w:type="spellStart"/>
      <w:r w:rsidRPr="00374ADF">
        <w:rPr>
          <w:rFonts w:cs="Times New Roman"/>
          <w:szCs w:val="24"/>
          <w:lang w:val="en-US"/>
        </w:rPr>
        <w:t>digitisation</w:t>
      </w:r>
      <w:proofErr w:type="spellEnd"/>
      <w:r w:rsidRPr="00374ADF">
        <w:rPr>
          <w:rFonts w:cs="Times New Roman"/>
          <w:szCs w:val="24"/>
          <w:lang w:val="en-US"/>
        </w:rPr>
        <w:t xml:space="preserve"> and automation in the context of Industry 4.0: A triangulation approach and elements of a research agenda for the construction industry. </w:t>
      </w:r>
      <w:r w:rsidRPr="00374ADF">
        <w:rPr>
          <w:rFonts w:cs="Times New Roman"/>
          <w:b/>
          <w:bCs/>
          <w:szCs w:val="24"/>
          <w:lang w:val="en-US"/>
        </w:rPr>
        <w:t>Computers in Industry</w:t>
      </w:r>
      <w:r w:rsidRPr="00374ADF">
        <w:rPr>
          <w:rFonts w:cs="Times New Roman"/>
          <w:szCs w:val="24"/>
          <w:lang w:val="en-US"/>
        </w:rPr>
        <w:t xml:space="preserve">, Elsevier B.V., 1 </w:t>
      </w:r>
      <w:proofErr w:type="spellStart"/>
      <w:r w:rsidRPr="00374ADF">
        <w:rPr>
          <w:rFonts w:cs="Times New Roman"/>
          <w:szCs w:val="24"/>
          <w:lang w:val="en-US"/>
        </w:rPr>
        <w:t>dez</w:t>
      </w:r>
      <w:proofErr w:type="spellEnd"/>
      <w:r w:rsidRPr="00374ADF">
        <w:rPr>
          <w:rFonts w:cs="Times New Roman"/>
          <w:szCs w:val="24"/>
          <w:lang w:val="en-US"/>
        </w:rPr>
        <w:t xml:space="preserve">. 2016. </w:t>
      </w:r>
    </w:p>
    <w:p w14:paraId="7AADF0E3"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PO-AN HSIEH, J. J.; WANG, W. Explaining employees’ Extended Use of complex information systems. </w:t>
      </w:r>
      <w:r w:rsidRPr="00374ADF">
        <w:rPr>
          <w:rFonts w:cs="Times New Roman"/>
          <w:b/>
          <w:bCs/>
          <w:szCs w:val="24"/>
          <w:lang w:val="en-US"/>
        </w:rPr>
        <w:t>European Journal of Information Systems</w:t>
      </w:r>
      <w:r w:rsidRPr="00374ADF">
        <w:rPr>
          <w:rFonts w:cs="Times New Roman"/>
          <w:szCs w:val="24"/>
          <w:lang w:val="en-US"/>
        </w:rPr>
        <w:t xml:space="preserve">, v. 16, n. 3, p. 216–227, 19 </w:t>
      </w:r>
      <w:proofErr w:type="spellStart"/>
      <w:r w:rsidRPr="00374ADF">
        <w:rPr>
          <w:rFonts w:cs="Times New Roman"/>
          <w:szCs w:val="24"/>
          <w:lang w:val="en-US"/>
        </w:rPr>
        <w:t>jul.</w:t>
      </w:r>
      <w:proofErr w:type="spellEnd"/>
      <w:r w:rsidRPr="00374ADF">
        <w:rPr>
          <w:rFonts w:cs="Times New Roman"/>
          <w:szCs w:val="24"/>
          <w:lang w:val="en-US"/>
        </w:rPr>
        <w:t xml:space="preserve"> 2007. </w:t>
      </w:r>
    </w:p>
    <w:p w14:paraId="7DFF2F58" w14:textId="77777777" w:rsidR="00BC7604"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PÜSCHEL, J. P.; MAZZON, J. A.; HERNANDES, J. M. DA C. Mobile banking: proposition of an integrated adoption intention framework. </w:t>
      </w:r>
      <w:r w:rsidRPr="00374ADF">
        <w:rPr>
          <w:rFonts w:cs="Times New Roman"/>
          <w:b/>
          <w:bCs/>
          <w:szCs w:val="24"/>
          <w:lang w:val="en-US"/>
        </w:rPr>
        <w:t>International Journal of Bank Marketing</w:t>
      </w:r>
      <w:r w:rsidRPr="00374ADF">
        <w:rPr>
          <w:rFonts w:cs="Times New Roman"/>
          <w:szCs w:val="24"/>
          <w:lang w:val="en-US"/>
        </w:rPr>
        <w:t xml:space="preserve">, v. 28, n. 5, p. 389–409, 27 </w:t>
      </w:r>
      <w:proofErr w:type="spellStart"/>
      <w:r w:rsidRPr="00374ADF">
        <w:rPr>
          <w:rFonts w:cs="Times New Roman"/>
          <w:szCs w:val="24"/>
          <w:lang w:val="en-US"/>
        </w:rPr>
        <w:t>jul.</w:t>
      </w:r>
      <w:proofErr w:type="spellEnd"/>
      <w:r w:rsidRPr="00374ADF">
        <w:rPr>
          <w:rFonts w:cs="Times New Roman"/>
          <w:szCs w:val="24"/>
          <w:lang w:val="en-US"/>
        </w:rPr>
        <w:t xml:space="preserve"> 2010.</w:t>
      </w:r>
    </w:p>
    <w:p w14:paraId="41C83EFA" w14:textId="77777777" w:rsidR="00BC7604" w:rsidRPr="00374ADF" w:rsidRDefault="00BC7604" w:rsidP="00BC7604">
      <w:pPr>
        <w:spacing w:afterLines="60" w:after="144" w:line="360" w:lineRule="auto"/>
        <w:jc w:val="both"/>
        <w:rPr>
          <w:rFonts w:cs="Times New Roman"/>
          <w:szCs w:val="24"/>
          <w:lang w:val="en-US"/>
        </w:rPr>
      </w:pPr>
      <w:r w:rsidRPr="00C72416">
        <w:rPr>
          <w:rFonts w:cs="Times New Roman"/>
          <w:szCs w:val="24"/>
          <w:lang w:val="en-US"/>
        </w:rPr>
        <w:t xml:space="preserve">RINGLE, Christian M. et al. </w:t>
      </w:r>
      <w:proofErr w:type="spellStart"/>
      <w:r w:rsidRPr="00C72416">
        <w:rPr>
          <w:rFonts w:cs="Times New Roman"/>
          <w:szCs w:val="24"/>
          <w:lang w:val="en-US"/>
        </w:rPr>
        <w:t>SmartPLS</w:t>
      </w:r>
      <w:proofErr w:type="spellEnd"/>
      <w:r w:rsidRPr="00C72416">
        <w:rPr>
          <w:rFonts w:cs="Times New Roman"/>
          <w:szCs w:val="24"/>
          <w:lang w:val="en-US"/>
        </w:rPr>
        <w:t xml:space="preserve"> 3.</w:t>
      </w:r>
      <w:r>
        <w:rPr>
          <w:rFonts w:cs="Times New Roman"/>
          <w:szCs w:val="24"/>
          <w:lang w:val="en-US"/>
        </w:rPr>
        <w:t xml:space="preserve"> </w:t>
      </w:r>
      <w:proofErr w:type="spellStart"/>
      <w:r w:rsidRPr="00C72416">
        <w:rPr>
          <w:rFonts w:cs="Times New Roman"/>
          <w:b/>
          <w:bCs/>
          <w:szCs w:val="24"/>
          <w:lang w:val="en-US"/>
        </w:rPr>
        <w:t>Boenningstedt</w:t>
      </w:r>
      <w:proofErr w:type="spellEnd"/>
      <w:r w:rsidRPr="00C72416">
        <w:rPr>
          <w:rFonts w:cs="Times New Roman"/>
          <w:b/>
          <w:bCs/>
          <w:szCs w:val="24"/>
          <w:lang w:val="en-US"/>
        </w:rPr>
        <w:t xml:space="preserve">: </w:t>
      </w:r>
      <w:proofErr w:type="spellStart"/>
      <w:r w:rsidRPr="00C72416">
        <w:rPr>
          <w:rFonts w:cs="Times New Roman"/>
          <w:b/>
          <w:bCs/>
          <w:szCs w:val="24"/>
          <w:lang w:val="en-US"/>
        </w:rPr>
        <w:t>SmartPLS</w:t>
      </w:r>
      <w:proofErr w:type="spellEnd"/>
      <w:r w:rsidRPr="00C72416">
        <w:rPr>
          <w:rFonts w:cs="Times New Roman"/>
          <w:b/>
          <w:bCs/>
          <w:szCs w:val="24"/>
          <w:lang w:val="en-US"/>
        </w:rPr>
        <w:t xml:space="preserve"> GmbH</w:t>
      </w:r>
      <w:r w:rsidRPr="00C72416">
        <w:rPr>
          <w:rFonts w:cs="Times New Roman"/>
          <w:szCs w:val="24"/>
          <w:lang w:val="en-US"/>
        </w:rPr>
        <w:t>, 2015.</w:t>
      </w:r>
    </w:p>
    <w:p w14:paraId="3A24C7F9"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RINGLE, C.; SILVA, D.; BIDO, D. S. Structural Equation Modeling with the </w:t>
      </w:r>
      <w:proofErr w:type="spellStart"/>
      <w:r w:rsidRPr="00374ADF">
        <w:rPr>
          <w:rFonts w:cs="Times New Roman"/>
          <w:szCs w:val="24"/>
          <w:lang w:val="en-US"/>
        </w:rPr>
        <w:t>SmartPLS</w:t>
      </w:r>
      <w:proofErr w:type="spellEnd"/>
      <w:r w:rsidRPr="00374ADF">
        <w:rPr>
          <w:rFonts w:cs="Times New Roman"/>
          <w:szCs w:val="24"/>
          <w:lang w:val="en-US"/>
        </w:rPr>
        <w:t xml:space="preserve">. </w:t>
      </w:r>
      <w:proofErr w:type="spellStart"/>
      <w:r w:rsidRPr="00374ADF">
        <w:rPr>
          <w:rFonts w:cs="Times New Roman"/>
          <w:szCs w:val="24"/>
          <w:lang w:val="en-US"/>
        </w:rPr>
        <w:t>Brasilian</w:t>
      </w:r>
      <w:proofErr w:type="spellEnd"/>
      <w:r w:rsidRPr="00374ADF">
        <w:rPr>
          <w:rFonts w:cs="Times New Roman"/>
          <w:szCs w:val="24"/>
          <w:lang w:val="en-US"/>
        </w:rPr>
        <w:t xml:space="preserve"> Journal of </w:t>
      </w:r>
      <w:proofErr w:type="spellStart"/>
      <w:r w:rsidRPr="00374ADF">
        <w:rPr>
          <w:rFonts w:cs="Times New Roman"/>
          <w:szCs w:val="24"/>
          <w:lang w:val="en-US"/>
        </w:rPr>
        <w:t>Marketiing</w:t>
      </w:r>
      <w:proofErr w:type="spellEnd"/>
      <w:r w:rsidRPr="00374ADF">
        <w:rPr>
          <w:rFonts w:cs="Times New Roman"/>
          <w:szCs w:val="24"/>
          <w:lang w:val="en-US"/>
        </w:rPr>
        <w:t>, v. 13, n. 2, p. 54-71, 2014.</w:t>
      </w:r>
    </w:p>
    <w:p w14:paraId="30187C6A"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noProof/>
          <w:szCs w:val="24"/>
          <w:lang w:val="en-US"/>
        </w:rPr>
        <w:t xml:space="preserve">ROGERS, E. M. </w:t>
      </w:r>
      <w:r w:rsidRPr="00374ADF">
        <w:rPr>
          <w:rFonts w:cs="Times New Roman"/>
          <w:b/>
          <w:bCs/>
          <w:noProof/>
          <w:szCs w:val="24"/>
          <w:lang w:val="en-US"/>
        </w:rPr>
        <w:t>Diffusion of innovations</w:t>
      </w:r>
      <w:r w:rsidRPr="00374ADF">
        <w:rPr>
          <w:rFonts w:cs="Times New Roman"/>
          <w:noProof/>
          <w:szCs w:val="24"/>
          <w:lang w:val="en-US"/>
        </w:rPr>
        <w:t>. 3. ed. New York: The Free Press, 1983.</w:t>
      </w:r>
    </w:p>
    <w:p w14:paraId="3669C9FF"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SAUNDERS, M; LEWIS, P. THORNHILL, A. </w:t>
      </w:r>
      <w:r w:rsidRPr="00374ADF">
        <w:rPr>
          <w:rFonts w:cs="Times New Roman"/>
          <w:b/>
          <w:bCs/>
          <w:szCs w:val="24"/>
          <w:lang w:val="en-US"/>
        </w:rPr>
        <w:t>Research Methods for Business Students</w:t>
      </w:r>
      <w:r w:rsidRPr="00374ADF">
        <w:rPr>
          <w:rFonts w:cs="Times New Roman"/>
          <w:szCs w:val="24"/>
          <w:lang w:val="en-US"/>
        </w:rPr>
        <w:t>. Pearson Education Ltd., Harlow. 2012.</w:t>
      </w:r>
    </w:p>
    <w:p w14:paraId="13770D29" w14:textId="77777777" w:rsidR="00BC7604" w:rsidRPr="00C72416" w:rsidRDefault="00BC7604" w:rsidP="00BC7604">
      <w:pPr>
        <w:spacing w:afterLines="60" w:after="144" w:line="360" w:lineRule="auto"/>
        <w:jc w:val="both"/>
        <w:rPr>
          <w:rFonts w:cs="Times New Roman"/>
          <w:szCs w:val="24"/>
        </w:rPr>
      </w:pPr>
      <w:r w:rsidRPr="00374ADF">
        <w:rPr>
          <w:rFonts w:cs="Times New Roman"/>
          <w:szCs w:val="24"/>
          <w:lang w:val="en-US"/>
        </w:rPr>
        <w:t xml:space="preserve">SHAIKH, A. A.; KARJALUOTO, H. Making the most of information technology &amp; systems usage: A literature review, </w:t>
      </w:r>
      <w:proofErr w:type="gramStart"/>
      <w:r w:rsidRPr="00374ADF">
        <w:rPr>
          <w:rFonts w:cs="Times New Roman"/>
          <w:szCs w:val="24"/>
          <w:lang w:val="en-US"/>
        </w:rPr>
        <w:t>framework</w:t>
      </w:r>
      <w:proofErr w:type="gramEnd"/>
      <w:r w:rsidRPr="00374ADF">
        <w:rPr>
          <w:rFonts w:cs="Times New Roman"/>
          <w:szCs w:val="24"/>
          <w:lang w:val="en-US"/>
        </w:rPr>
        <w:t xml:space="preserve"> and future research agenda. </w:t>
      </w:r>
      <w:proofErr w:type="spellStart"/>
      <w:r w:rsidRPr="00C72416">
        <w:rPr>
          <w:rFonts w:cs="Times New Roman"/>
          <w:b/>
          <w:bCs/>
          <w:szCs w:val="24"/>
        </w:rPr>
        <w:t>Computers</w:t>
      </w:r>
      <w:proofErr w:type="spellEnd"/>
      <w:r w:rsidRPr="00C72416">
        <w:rPr>
          <w:rFonts w:cs="Times New Roman"/>
          <w:b/>
          <w:bCs/>
          <w:szCs w:val="24"/>
        </w:rPr>
        <w:t xml:space="preserve"> in </w:t>
      </w:r>
      <w:proofErr w:type="spellStart"/>
      <w:r w:rsidRPr="00C72416">
        <w:rPr>
          <w:rFonts w:cs="Times New Roman"/>
          <w:b/>
          <w:bCs/>
          <w:szCs w:val="24"/>
        </w:rPr>
        <w:t>Human</w:t>
      </w:r>
      <w:proofErr w:type="spellEnd"/>
      <w:r w:rsidRPr="00C72416">
        <w:rPr>
          <w:rFonts w:cs="Times New Roman"/>
          <w:b/>
          <w:bCs/>
          <w:szCs w:val="24"/>
        </w:rPr>
        <w:t xml:space="preserve"> </w:t>
      </w:r>
      <w:proofErr w:type="spellStart"/>
      <w:r w:rsidRPr="00C72416">
        <w:rPr>
          <w:rFonts w:cs="Times New Roman"/>
          <w:b/>
          <w:bCs/>
          <w:szCs w:val="24"/>
        </w:rPr>
        <w:t>Behavior</w:t>
      </w:r>
      <w:proofErr w:type="spellEnd"/>
      <w:r w:rsidRPr="00C72416">
        <w:rPr>
          <w:rFonts w:cs="Times New Roman"/>
          <w:szCs w:val="24"/>
        </w:rPr>
        <w:t xml:space="preserve">, v. 49, p. 541–566, 2015. </w:t>
      </w:r>
    </w:p>
    <w:p w14:paraId="5940A959" w14:textId="77777777" w:rsidR="00BC7604" w:rsidRPr="00374ADF" w:rsidRDefault="00BC7604" w:rsidP="00BC7604">
      <w:pPr>
        <w:spacing w:afterLines="60" w:after="144" w:line="360" w:lineRule="auto"/>
        <w:jc w:val="both"/>
        <w:rPr>
          <w:rFonts w:cs="Times New Roman"/>
          <w:szCs w:val="24"/>
        </w:rPr>
      </w:pPr>
      <w:r w:rsidRPr="006C5B4E">
        <w:rPr>
          <w:rFonts w:cs="Times New Roman"/>
          <w:szCs w:val="24"/>
        </w:rPr>
        <w:lastRenderedPageBreak/>
        <w:t>SILVA, J. V. M.; RODELLO, I. A.</w:t>
      </w:r>
      <w:r w:rsidRPr="006C5B4E">
        <w:rPr>
          <w:rFonts w:cs="Times New Roman"/>
          <w:b/>
          <w:szCs w:val="24"/>
        </w:rPr>
        <w:t xml:space="preserve"> </w:t>
      </w:r>
      <w:r w:rsidRPr="00374ADF">
        <w:rPr>
          <w:rFonts w:cs="Times New Roman"/>
          <w:b/>
          <w:szCs w:val="24"/>
        </w:rPr>
        <w:t>Um Estudo sobre a Aceitação e Uso da Realidade Aumentada em Cenários de Negócio sob a ótica da Teoria Unificada de Aceitação e Uso da Tecnologia. In: Workshop de Realidade Virtual e Aumentada</w:t>
      </w:r>
      <w:r w:rsidRPr="00374ADF">
        <w:rPr>
          <w:rFonts w:cs="Times New Roman"/>
          <w:szCs w:val="24"/>
        </w:rPr>
        <w:t xml:space="preserve"> (WRVA 2015), 2015, Presidente Prudente. XII Workshop de Realidade Virtual e Aumentada. São Paulo: Cultura Acadêmica, 2015. v. 1. p. 54-59.</w:t>
      </w:r>
    </w:p>
    <w:p w14:paraId="20AD91CD"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STONE, M. Cross-Validatory Choice and Assessment of Statistical Predictions, </w:t>
      </w:r>
      <w:r w:rsidRPr="00374ADF">
        <w:rPr>
          <w:rFonts w:cs="Times New Roman"/>
          <w:b/>
          <w:bCs/>
          <w:szCs w:val="24"/>
          <w:lang w:val="en-US"/>
        </w:rPr>
        <w:t>Journal of the Royal Statistical Society</w:t>
      </w:r>
      <w:r w:rsidRPr="00374ADF">
        <w:rPr>
          <w:rFonts w:cs="Times New Roman"/>
          <w:szCs w:val="24"/>
          <w:lang w:val="en-US"/>
        </w:rPr>
        <w:t xml:space="preserve">, 36(2): pp 111-147, 1974. </w:t>
      </w:r>
      <w:hyperlink r:id="rId12" w:history="1">
        <w:r w:rsidRPr="00374ADF">
          <w:rPr>
            <w:rFonts w:cs="Times New Roman"/>
            <w:szCs w:val="24"/>
            <w:lang w:val="en-US"/>
          </w:rPr>
          <w:t>https://www.jstor.org/stable/2984809?seq=1</w:t>
        </w:r>
      </w:hyperlink>
    </w:p>
    <w:p w14:paraId="3DBF307A"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TAYLOR, S., TODD, P. A. “Assessing IT Usage: The Role of Prior Experience,” </w:t>
      </w:r>
      <w:r w:rsidRPr="00374ADF">
        <w:rPr>
          <w:rFonts w:cs="Times New Roman"/>
          <w:b/>
          <w:bCs/>
          <w:szCs w:val="24"/>
          <w:lang w:val="en-US"/>
        </w:rPr>
        <w:t>MIS Quarterly</w:t>
      </w:r>
      <w:r w:rsidRPr="00374ADF">
        <w:rPr>
          <w:rFonts w:cs="Times New Roman"/>
          <w:szCs w:val="24"/>
          <w:lang w:val="en-US"/>
        </w:rPr>
        <w:t xml:space="preserve"> (19:2), 1995a, pp. 561-570.</w:t>
      </w:r>
    </w:p>
    <w:p w14:paraId="6AB38B57"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noProof/>
          <w:szCs w:val="24"/>
          <w:lang w:val="en-US"/>
        </w:rPr>
        <w:t xml:space="preserve">TAYLOR, S.; TODD, P. Decomposition and crossover effects in the theory of planned behavior: A study of consumer adoption intentions. </w:t>
      </w:r>
      <w:r w:rsidRPr="00374ADF">
        <w:rPr>
          <w:rFonts w:cs="Times New Roman"/>
          <w:b/>
          <w:bCs/>
          <w:noProof/>
          <w:szCs w:val="24"/>
          <w:lang w:val="en-US"/>
        </w:rPr>
        <w:t>International Journal of Research in Marketing</w:t>
      </w:r>
      <w:r w:rsidRPr="00374ADF">
        <w:rPr>
          <w:rFonts w:cs="Times New Roman"/>
          <w:noProof/>
          <w:szCs w:val="24"/>
          <w:lang w:val="en-US"/>
        </w:rPr>
        <w:t>, v. 12, n. 2, p. 137–155, 1 jul. 1995.</w:t>
      </w:r>
    </w:p>
    <w:p w14:paraId="04F56C57"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THOMPSON, R. L., HIGGINS, C. A., and HOWELL, J. M. </w:t>
      </w:r>
      <w:r w:rsidRPr="00374ADF">
        <w:rPr>
          <w:rFonts w:cs="Times New Roman"/>
          <w:b/>
          <w:szCs w:val="24"/>
          <w:lang w:val="en-US"/>
        </w:rPr>
        <w:t>“Personal Computing: Toward a Conceptual Model of Utilization,”</w:t>
      </w:r>
      <w:r w:rsidRPr="00374ADF">
        <w:rPr>
          <w:rFonts w:cs="Times New Roman"/>
          <w:szCs w:val="24"/>
          <w:lang w:val="en-US"/>
        </w:rPr>
        <w:t xml:space="preserve"> MIS Quarterly (15:1), 1991, pp. 124-143.</w:t>
      </w:r>
    </w:p>
    <w:p w14:paraId="5649F004"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VALLERAND, R. J. 1997. </w:t>
      </w:r>
      <w:r w:rsidRPr="00374ADF">
        <w:rPr>
          <w:rFonts w:cs="Times New Roman"/>
          <w:b/>
          <w:szCs w:val="24"/>
          <w:lang w:val="en-US"/>
        </w:rPr>
        <w:t>“Toward a Hierarchical Model of Intrinsic and Extrinsic Motivation,” in Advances in Experimental Social Psychology</w:t>
      </w:r>
      <w:r w:rsidRPr="00374ADF">
        <w:rPr>
          <w:rFonts w:cs="Times New Roman"/>
          <w:szCs w:val="24"/>
          <w:lang w:val="en-US"/>
        </w:rPr>
        <w:t>, M. Zanna (ed.), New York: Academic Press, pp. 271-360.</w:t>
      </w:r>
    </w:p>
    <w:p w14:paraId="6D899BF2" w14:textId="77777777" w:rsidR="00BC7604" w:rsidRPr="00374ADF" w:rsidRDefault="00BC7604" w:rsidP="00BC7604">
      <w:pPr>
        <w:widowControl w:val="0"/>
        <w:autoSpaceDE w:val="0"/>
        <w:autoSpaceDN w:val="0"/>
        <w:adjustRightInd w:val="0"/>
        <w:spacing w:afterLines="60" w:after="144" w:line="360" w:lineRule="auto"/>
        <w:jc w:val="both"/>
        <w:rPr>
          <w:rFonts w:cs="Times New Roman"/>
          <w:noProof/>
          <w:szCs w:val="24"/>
          <w:lang w:val="en-US"/>
        </w:rPr>
      </w:pPr>
      <w:r w:rsidRPr="00374ADF">
        <w:rPr>
          <w:rFonts w:cs="Times New Roman"/>
          <w:noProof/>
          <w:szCs w:val="24"/>
          <w:lang w:val="en-US"/>
        </w:rPr>
        <w:t xml:space="preserve">VENKATESH </w:t>
      </w:r>
      <w:r>
        <w:rPr>
          <w:rFonts w:cs="Times New Roman"/>
          <w:noProof/>
          <w:szCs w:val="24"/>
          <w:lang w:val="en-US"/>
        </w:rPr>
        <w:t>et al.</w:t>
      </w:r>
      <w:r w:rsidRPr="00374ADF">
        <w:rPr>
          <w:rFonts w:cs="Times New Roman"/>
          <w:noProof/>
          <w:szCs w:val="24"/>
          <w:lang w:val="en-US"/>
        </w:rPr>
        <w:t xml:space="preserve"> User Acceptance of Information Technology: Toward a Unified View. </w:t>
      </w:r>
      <w:r w:rsidRPr="00374ADF">
        <w:rPr>
          <w:rFonts w:cs="Times New Roman"/>
          <w:b/>
          <w:bCs/>
          <w:noProof/>
          <w:szCs w:val="24"/>
          <w:lang w:val="en-US"/>
        </w:rPr>
        <w:t>MIS Quarterly</w:t>
      </w:r>
      <w:r w:rsidRPr="00374ADF">
        <w:rPr>
          <w:rFonts w:cs="Times New Roman"/>
          <w:noProof/>
          <w:szCs w:val="24"/>
          <w:lang w:val="en-US"/>
        </w:rPr>
        <w:t xml:space="preserve">, v. 27, n. 3, p. 425, 2003. </w:t>
      </w:r>
    </w:p>
    <w:p w14:paraId="53309297" w14:textId="77777777" w:rsidR="00BC7604" w:rsidRPr="00302763" w:rsidRDefault="00BC7604" w:rsidP="00BC7604">
      <w:pPr>
        <w:spacing w:afterLines="60" w:after="144" w:line="360" w:lineRule="auto"/>
        <w:jc w:val="both"/>
        <w:rPr>
          <w:rFonts w:cs="Times New Roman"/>
          <w:szCs w:val="24"/>
          <w:lang w:val="en-US"/>
        </w:rPr>
      </w:pPr>
      <w:r w:rsidRPr="00374ADF">
        <w:rPr>
          <w:rFonts w:cs="Times New Roman"/>
          <w:noProof/>
          <w:szCs w:val="24"/>
          <w:lang w:val="en-US"/>
        </w:rPr>
        <w:t xml:space="preserve">VENKATESH; THONG; XU. Consumer Acceptance and Use of Information Technology: Extending the Unified Theory of Acceptance and Use of Technology. </w:t>
      </w:r>
      <w:r w:rsidRPr="00302763">
        <w:rPr>
          <w:rFonts w:cs="Times New Roman"/>
          <w:b/>
          <w:bCs/>
          <w:noProof/>
          <w:szCs w:val="24"/>
          <w:lang w:val="en-US"/>
        </w:rPr>
        <w:t>MIS Quarterly</w:t>
      </w:r>
      <w:r w:rsidRPr="00302763">
        <w:rPr>
          <w:rFonts w:cs="Times New Roman"/>
          <w:noProof/>
          <w:szCs w:val="24"/>
          <w:lang w:val="en-US"/>
        </w:rPr>
        <w:t>, v. 36, n. 1, p. 157, 2012.</w:t>
      </w:r>
    </w:p>
    <w:p w14:paraId="0974987B"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VIAL, G. Understanding digital transformation: A review and a research agenda </w:t>
      </w:r>
      <w:r w:rsidRPr="00374ADF">
        <w:rPr>
          <w:rFonts w:cs="Times New Roman"/>
          <w:b/>
          <w:bCs/>
          <w:szCs w:val="24"/>
          <w:lang w:val="en-US"/>
        </w:rPr>
        <w:t xml:space="preserve">Journal of Strategic Information Systems, </w:t>
      </w:r>
      <w:r w:rsidRPr="00374ADF">
        <w:rPr>
          <w:rFonts w:cs="Times New Roman"/>
          <w:szCs w:val="24"/>
          <w:lang w:val="en-US"/>
        </w:rPr>
        <w:t>Elsevier B.V., 1 jun. 2019.</w:t>
      </w:r>
    </w:p>
    <w:p w14:paraId="590A5031"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noProof/>
          <w:szCs w:val="24"/>
          <w:lang w:val="en-US"/>
        </w:rPr>
        <w:t xml:space="preserve">WAGAW, M. Acceptance of homegrown enterprise resource planning (ERP) systems in Ethiopia. </w:t>
      </w:r>
      <w:r w:rsidRPr="00374ADF">
        <w:rPr>
          <w:rFonts w:cs="Times New Roman"/>
          <w:b/>
          <w:bCs/>
          <w:noProof/>
          <w:szCs w:val="24"/>
          <w:lang w:val="en-US"/>
        </w:rPr>
        <w:t>Applied Informatics</w:t>
      </w:r>
      <w:r w:rsidRPr="00374ADF">
        <w:rPr>
          <w:rFonts w:cs="Times New Roman"/>
          <w:noProof/>
          <w:szCs w:val="24"/>
          <w:lang w:val="en-US"/>
        </w:rPr>
        <w:t>, v. 4, n. 1, p. 6, 14 dez. 2017.</w:t>
      </w:r>
    </w:p>
    <w:p w14:paraId="7BB359C3"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szCs w:val="24"/>
          <w:lang w:val="en-US"/>
        </w:rPr>
        <w:t xml:space="preserve">WALLACE, T. F.; KREMZAR, M. H. </w:t>
      </w:r>
      <w:r w:rsidRPr="00374ADF">
        <w:rPr>
          <w:rFonts w:cs="Times New Roman"/>
          <w:b/>
          <w:bCs/>
          <w:szCs w:val="24"/>
          <w:lang w:val="en-US"/>
        </w:rPr>
        <w:t>ERP: Making It Happen the Implementers’ Guide to Success with Enterprise Resource Planning</w:t>
      </w:r>
      <w:r w:rsidRPr="00374ADF">
        <w:rPr>
          <w:rFonts w:cs="Times New Roman"/>
          <w:szCs w:val="24"/>
          <w:lang w:val="en-US"/>
        </w:rPr>
        <w:t>. [</w:t>
      </w:r>
      <w:proofErr w:type="spellStart"/>
      <w:r w:rsidRPr="00374ADF">
        <w:rPr>
          <w:rFonts w:cs="Times New Roman"/>
          <w:szCs w:val="24"/>
          <w:lang w:val="en-US"/>
        </w:rPr>
        <w:t>s.l</w:t>
      </w:r>
      <w:proofErr w:type="spellEnd"/>
      <w:r w:rsidRPr="00374ADF">
        <w:rPr>
          <w:rFonts w:cs="Times New Roman"/>
          <w:szCs w:val="24"/>
          <w:lang w:val="en-US"/>
        </w:rPr>
        <w:t xml:space="preserve">: </w:t>
      </w:r>
      <w:proofErr w:type="spellStart"/>
      <w:r w:rsidRPr="00374ADF">
        <w:rPr>
          <w:rFonts w:cs="Times New Roman"/>
          <w:szCs w:val="24"/>
          <w:lang w:val="en-US"/>
        </w:rPr>
        <w:t>s.n</w:t>
      </w:r>
      <w:proofErr w:type="spellEnd"/>
      <w:r w:rsidRPr="00374ADF">
        <w:rPr>
          <w:rFonts w:cs="Times New Roman"/>
          <w:szCs w:val="24"/>
          <w:lang w:val="en-US"/>
        </w:rPr>
        <w:t>.].</w:t>
      </w:r>
    </w:p>
    <w:p w14:paraId="2A87989C" w14:textId="77777777" w:rsidR="00BC7604" w:rsidRPr="00374ADF" w:rsidRDefault="00BC7604" w:rsidP="00BC7604">
      <w:pPr>
        <w:spacing w:afterLines="60" w:after="144" w:line="360" w:lineRule="auto"/>
        <w:jc w:val="both"/>
        <w:rPr>
          <w:rFonts w:cs="Times New Roman"/>
          <w:szCs w:val="24"/>
          <w:lang w:val="en-US"/>
        </w:rPr>
      </w:pPr>
      <w:r w:rsidRPr="00374ADF">
        <w:rPr>
          <w:rFonts w:cs="Times New Roman"/>
          <w:noProof/>
          <w:szCs w:val="24"/>
          <w:lang w:val="en-US"/>
        </w:rPr>
        <w:lastRenderedPageBreak/>
        <w:t xml:space="preserve">WILLIAMS, M. D.; RANA, N. P.; DWIVEDI, Y. K. The unified theory of acceptance and use of technology (UTAUT): a literature review. </w:t>
      </w:r>
      <w:r w:rsidRPr="00374ADF">
        <w:rPr>
          <w:rFonts w:cs="Times New Roman"/>
          <w:b/>
          <w:bCs/>
          <w:noProof/>
          <w:szCs w:val="24"/>
        </w:rPr>
        <w:t>Journal of Enterprise Information Management</w:t>
      </w:r>
      <w:r w:rsidRPr="00374ADF">
        <w:rPr>
          <w:rFonts w:cs="Times New Roman"/>
          <w:noProof/>
          <w:szCs w:val="24"/>
        </w:rPr>
        <w:t>, v. 28, n. 3, p. 443–488, 13 abr. 2015.</w:t>
      </w:r>
    </w:p>
    <w:p w14:paraId="1C212D87" w14:textId="77777777" w:rsidR="00917942" w:rsidRDefault="00917942"/>
    <w:p w14:paraId="75A733FF" w14:textId="77777777" w:rsidR="00F429FC" w:rsidRDefault="00F429FC"/>
    <w:p w14:paraId="719A96CD" w14:textId="77777777" w:rsidR="00F429FC" w:rsidRDefault="00F429FC"/>
    <w:p w14:paraId="34A73A52" w14:textId="77777777" w:rsidR="00F429FC" w:rsidRDefault="00F429FC"/>
    <w:p w14:paraId="4285C86D" w14:textId="77777777" w:rsidR="00F429FC" w:rsidRDefault="00F429FC"/>
    <w:p w14:paraId="01CE1094" w14:textId="77777777" w:rsidR="00F429FC" w:rsidRDefault="00F429FC"/>
    <w:p w14:paraId="20D6884B" w14:textId="77777777" w:rsidR="00F429FC" w:rsidRDefault="00F429FC"/>
    <w:p w14:paraId="2821CB87" w14:textId="77777777" w:rsidR="00F429FC" w:rsidRDefault="00F429FC"/>
    <w:p w14:paraId="49A395FF" w14:textId="77777777" w:rsidR="00F429FC" w:rsidRDefault="00F429FC"/>
    <w:p w14:paraId="5476D03B" w14:textId="77777777" w:rsidR="00F429FC" w:rsidRDefault="00F429FC"/>
    <w:p w14:paraId="6390A6AB" w14:textId="77777777" w:rsidR="00F429FC" w:rsidRDefault="00F429FC"/>
    <w:p w14:paraId="01FF5A7D" w14:textId="77777777" w:rsidR="00F429FC" w:rsidRDefault="00F429FC"/>
    <w:p w14:paraId="5B95C4E1" w14:textId="77777777" w:rsidR="00F429FC" w:rsidRDefault="00F429FC"/>
    <w:p w14:paraId="1FA9F938" w14:textId="77777777" w:rsidR="00F429FC" w:rsidRDefault="00F429FC"/>
    <w:p w14:paraId="34387E13" w14:textId="77777777" w:rsidR="00F429FC" w:rsidRDefault="00F429FC"/>
    <w:p w14:paraId="786B2811" w14:textId="77777777" w:rsidR="00F429FC" w:rsidRDefault="00F429FC"/>
    <w:p w14:paraId="3F675CA8" w14:textId="77777777" w:rsidR="00F429FC" w:rsidRDefault="00F429FC"/>
    <w:p w14:paraId="59517709" w14:textId="77777777" w:rsidR="00F429FC" w:rsidRDefault="00F429FC"/>
    <w:p w14:paraId="19917A5D" w14:textId="77777777" w:rsidR="00F429FC" w:rsidRDefault="00F429FC"/>
    <w:p w14:paraId="6AA80155" w14:textId="77777777" w:rsidR="00F429FC" w:rsidRDefault="00F429FC"/>
    <w:p w14:paraId="4B1D694D" w14:textId="77777777" w:rsidR="00F429FC" w:rsidRDefault="00F429FC"/>
    <w:p w14:paraId="19452603" w14:textId="77777777" w:rsidR="00F429FC" w:rsidRDefault="00F429FC"/>
    <w:p w14:paraId="24898673" w14:textId="77777777" w:rsidR="00F429FC" w:rsidRDefault="00F429FC"/>
    <w:p w14:paraId="1966CC22" w14:textId="77777777" w:rsidR="00F429FC" w:rsidRDefault="00F429FC"/>
    <w:p w14:paraId="1E7688EF" w14:textId="3F058AC5" w:rsidR="00F429FC" w:rsidRDefault="00F429FC">
      <w:r w:rsidRPr="00F429FC">
        <w:lastRenderedPageBreak/>
        <w:drawing>
          <wp:inline distT="0" distB="0" distL="0" distR="0" wp14:anchorId="52A985AD" wp14:editId="6A97C0A2">
            <wp:extent cx="5760085" cy="5476875"/>
            <wp:effectExtent l="0" t="0" r="0" b="9525"/>
            <wp:docPr id="1969607612" name="Imagem 1" descr="Interface gráfica do usuário, Texto, Aplicativo, Email&#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9607612" name="Imagem 1" descr="Interface gráfica do usuário, Texto, Aplicativo, Email&#10;&#10;Descrição gerada automaticamente"/>
                    <pic:cNvPicPr/>
                  </pic:nvPicPr>
                  <pic:blipFill>
                    <a:blip r:embed="rId13"/>
                    <a:stretch>
                      <a:fillRect/>
                    </a:stretch>
                  </pic:blipFill>
                  <pic:spPr>
                    <a:xfrm>
                      <a:off x="0" y="0"/>
                      <a:ext cx="5760085" cy="5476875"/>
                    </a:xfrm>
                    <a:prstGeom prst="rect">
                      <a:avLst/>
                    </a:prstGeom>
                  </pic:spPr>
                </pic:pic>
              </a:graphicData>
            </a:graphic>
          </wp:inline>
        </w:drawing>
      </w:r>
    </w:p>
    <w:sectPr w:rsidR="00F429FC" w:rsidSect="00C16CE7">
      <w:headerReference w:type="default" r:id="rId14"/>
      <w:footerReference w:type="default" r:id="rId15"/>
      <w:pgSz w:w="11906" w:h="16838"/>
      <w:pgMar w:top="1701" w:right="1134"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65E6F3" w14:textId="77777777" w:rsidR="00C16CE7" w:rsidRDefault="00C16CE7">
      <w:pPr>
        <w:spacing w:after="0" w:line="240" w:lineRule="auto"/>
      </w:pPr>
      <w:r>
        <w:separator/>
      </w:r>
    </w:p>
  </w:endnote>
  <w:endnote w:type="continuationSeparator" w:id="0">
    <w:p w14:paraId="0F06D8C3" w14:textId="77777777" w:rsidR="00C16CE7" w:rsidRDefault="00C16C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73509609"/>
      <w:docPartObj>
        <w:docPartGallery w:val="Page Numbers (Bottom of Page)"/>
        <w:docPartUnique/>
      </w:docPartObj>
    </w:sdtPr>
    <w:sdtContent>
      <w:p w14:paraId="2F27B294" w14:textId="77777777" w:rsidR="002A1E46" w:rsidRDefault="0090499B">
        <w:pPr>
          <w:pStyle w:val="Rodap"/>
          <w:jc w:val="right"/>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2F2E4F" w14:textId="77777777" w:rsidR="00C16CE7" w:rsidRDefault="00C16CE7">
      <w:pPr>
        <w:spacing w:after="0" w:line="240" w:lineRule="auto"/>
      </w:pPr>
      <w:r>
        <w:separator/>
      </w:r>
    </w:p>
  </w:footnote>
  <w:footnote w:type="continuationSeparator" w:id="0">
    <w:p w14:paraId="60637A08" w14:textId="77777777" w:rsidR="00C16CE7" w:rsidRDefault="00C16CE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13536373"/>
      <w:docPartObj>
        <w:docPartGallery w:val="Page Numbers (Top of Page)"/>
        <w:docPartUnique/>
      </w:docPartObj>
    </w:sdtPr>
    <w:sdtContent>
      <w:p w14:paraId="7FF762FE" w14:textId="77777777" w:rsidR="002A1E46" w:rsidRDefault="0090499B">
        <w:pPr>
          <w:pStyle w:val="Cabealho"/>
          <w:jc w:val="right"/>
        </w:pPr>
        <w:r>
          <w:fldChar w:fldCharType="begin"/>
        </w:r>
        <w:r>
          <w:instrText>PAGE   \* MERGEFORMAT</w:instrText>
        </w:r>
        <w:r>
          <w:fldChar w:fldCharType="separate"/>
        </w:r>
        <w:r>
          <w:t>2</w:t>
        </w:r>
        <w:r>
          <w:fldChar w:fldCharType="end"/>
        </w:r>
      </w:p>
    </w:sdtContent>
  </w:sdt>
  <w:p w14:paraId="509DAD19" w14:textId="77777777" w:rsidR="002A1E46" w:rsidRDefault="002A1E46">
    <w:pPr>
      <w:pStyle w:val="Cabealh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0522"/>
    <w:rsid w:val="00001690"/>
    <w:rsid w:val="00056F5C"/>
    <w:rsid w:val="00085176"/>
    <w:rsid w:val="00086BCD"/>
    <w:rsid w:val="00242181"/>
    <w:rsid w:val="002A1E46"/>
    <w:rsid w:val="002F4626"/>
    <w:rsid w:val="00332710"/>
    <w:rsid w:val="003927B2"/>
    <w:rsid w:val="004C24C9"/>
    <w:rsid w:val="004F1DE4"/>
    <w:rsid w:val="004F2F31"/>
    <w:rsid w:val="005025D3"/>
    <w:rsid w:val="00533832"/>
    <w:rsid w:val="00634674"/>
    <w:rsid w:val="006E1641"/>
    <w:rsid w:val="007249EA"/>
    <w:rsid w:val="008F0E95"/>
    <w:rsid w:val="0090499B"/>
    <w:rsid w:val="009132C7"/>
    <w:rsid w:val="00917942"/>
    <w:rsid w:val="00A74472"/>
    <w:rsid w:val="00AC3872"/>
    <w:rsid w:val="00AE3CEB"/>
    <w:rsid w:val="00B94E01"/>
    <w:rsid w:val="00BC7604"/>
    <w:rsid w:val="00BF3C90"/>
    <w:rsid w:val="00C16CE7"/>
    <w:rsid w:val="00DB0522"/>
    <w:rsid w:val="00DD54E5"/>
    <w:rsid w:val="00E54FC5"/>
    <w:rsid w:val="00F429FC"/>
    <w:rsid w:val="00FB0ADB"/>
    <w:rsid w:val="00FE7B85"/>
    <w:rsid w:val="00FF4958"/>
  </w:rsids>
  <m:mathPr>
    <m:mathFont m:val="Cambria Math"/>
    <m:brkBin m:val="before"/>
    <m:brkBinSub m:val="--"/>
    <m:smallFrac m:val="0"/>
    <m:dispDef/>
    <m:lMargin m:val="0"/>
    <m:rMargin m:val="0"/>
    <m:defJc m:val="centerGroup"/>
    <m:wrapIndent m:val="1440"/>
    <m:intLim m:val="subSup"/>
    <m:naryLim m:val="undOvr"/>
  </m:mathPr>
  <w:themeFontLang w:val="pt-B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ECE0B5"/>
  <w15:chartTrackingRefBased/>
  <w15:docId w15:val="{BBD8C06F-7F87-4CA6-A672-37BB1B7474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C7604"/>
    <w:pPr>
      <w:spacing w:after="200" w:line="276" w:lineRule="auto"/>
    </w:pPr>
    <w:rPr>
      <w:rFonts w:ascii="Times New Roman" w:hAnsi="Times New Roman"/>
      <w:kern w:val="0"/>
      <w:sz w:val="24"/>
      <w:lang w:val="pt-BR"/>
      <w14:ligatures w14:val="none"/>
    </w:rPr>
  </w:style>
  <w:style w:type="paragraph" w:styleId="Ttulo1">
    <w:name w:val="heading 1"/>
    <w:basedOn w:val="Normal"/>
    <w:next w:val="Normal"/>
    <w:link w:val="Ttulo1Char"/>
    <w:uiPriority w:val="9"/>
    <w:qFormat/>
    <w:rsid w:val="00DB0522"/>
    <w:pPr>
      <w:keepNext/>
      <w:keepLines/>
      <w:spacing w:before="360" w:after="80" w:line="259" w:lineRule="auto"/>
      <w:jc w:val="both"/>
      <w:outlineLvl w:val="0"/>
    </w:pPr>
    <w:rPr>
      <w:rFonts w:asciiTheme="majorHAnsi" w:eastAsiaTheme="majorEastAsia" w:hAnsiTheme="majorHAnsi" w:cstheme="majorBidi"/>
      <w:color w:val="0F4761" w:themeColor="accent1" w:themeShade="BF"/>
      <w:sz w:val="40"/>
      <w:szCs w:val="40"/>
      <w:lang w:val="en-US"/>
    </w:rPr>
  </w:style>
  <w:style w:type="paragraph" w:styleId="Ttulo2">
    <w:name w:val="heading 2"/>
    <w:basedOn w:val="Normal"/>
    <w:next w:val="Normal"/>
    <w:link w:val="Ttulo2Char"/>
    <w:uiPriority w:val="9"/>
    <w:semiHidden/>
    <w:unhideWhenUsed/>
    <w:qFormat/>
    <w:rsid w:val="00DB0522"/>
    <w:pPr>
      <w:keepNext/>
      <w:keepLines/>
      <w:spacing w:before="160" w:after="80" w:line="259" w:lineRule="auto"/>
      <w:jc w:val="both"/>
      <w:outlineLvl w:val="1"/>
    </w:pPr>
    <w:rPr>
      <w:rFonts w:asciiTheme="majorHAnsi" w:eastAsiaTheme="majorEastAsia" w:hAnsiTheme="majorHAnsi" w:cstheme="majorBidi"/>
      <w:color w:val="0F4761" w:themeColor="accent1" w:themeShade="BF"/>
      <w:sz w:val="32"/>
      <w:szCs w:val="32"/>
      <w:lang w:val="en-US"/>
    </w:rPr>
  </w:style>
  <w:style w:type="paragraph" w:styleId="Ttulo3">
    <w:name w:val="heading 3"/>
    <w:basedOn w:val="Normal"/>
    <w:next w:val="Normal"/>
    <w:link w:val="Ttulo3Char"/>
    <w:uiPriority w:val="9"/>
    <w:semiHidden/>
    <w:unhideWhenUsed/>
    <w:qFormat/>
    <w:rsid w:val="00DB0522"/>
    <w:pPr>
      <w:keepNext/>
      <w:keepLines/>
      <w:spacing w:before="160" w:after="80" w:line="259" w:lineRule="auto"/>
      <w:jc w:val="both"/>
      <w:outlineLvl w:val="2"/>
    </w:pPr>
    <w:rPr>
      <w:rFonts w:asciiTheme="minorHAnsi" w:eastAsiaTheme="majorEastAsia" w:hAnsiTheme="minorHAnsi" w:cstheme="majorBidi"/>
      <w:color w:val="0F4761" w:themeColor="accent1" w:themeShade="BF"/>
      <w:sz w:val="28"/>
      <w:szCs w:val="28"/>
      <w:lang w:val="en-US"/>
    </w:rPr>
  </w:style>
  <w:style w:type="paragraph" w:styleId="Ttulo4">
    <w:name w:val="heading 4"/>
    <w:basedOn w:val="Normal"/>
    <w:next w:val="Normal"/>
    <w:link w:val="Ttulo4Char"/>
    <w:uiPriority w:val="9"/>
    <w:semiHidden/>
    <w:unhideWhenUsed/>
    <w:qFormat/>
    <w:rsid w:val="00DB0522"/>
    <w:pPr>
      <w:keepNext/>
      <w:keepLines/>
      <w:spacing w:before="80" w:after="40" w:line="259" w:lineRule="auto"/>
      <w:jc w:val="both"/>
      <w:outlineLvl w:val="3"/>
    </w:pPr>
    <w:rPr>
      <w:rFonts w:asciiTheme="minorHAnsi" w:eastAsiaTheme="majorEastAsia" w:hAnsiTheme="minorHAnsi" w:cstheme="majorBidi"/>
      <w:i/>
      <w:iCs/>
      <w:color w:val="0F4761" w:themeColor="accent1" w:themeShade="BF"/>
      <w:lang w:val="en-US"/>
    </w:rPr>
  </w:style>
  <w:style w:type="paragraph" w:styleId="Ttulo5">
    <w:name w:val="heading 5"/>
    <w:basedOn w:val="Normal"/>
    <w:next w:val="Normal"/>
    <w:link w:val="Ttulo5Char"/>
    <w:uiPriority w:val="9"/>
    <w:semiHidden/>
    <w:unhideWhenUsed/>
    <w:qFormat/>
    <w:rsid w:val="00DB0522"/>
    <w:pPr>
      <w:keepNext/>
      <w:keepLines/>
      <w:spacing w:before="80" w:after="40" w:line="259" w:lineRule="auto"/>
      <w:jc w:val="both"/>
      <w:outlineLvl w:val="4"/>
    </w:pPr>
    <w:rPr>
      <w:rFonts w:asciiTheme="minorHAnsi" w:eastAsiaTheme="majorEastAsia" w:hAnsiTheme="minorHAnsi" w:cstheme="majorBidi"/>
      <w:color w:val="0F4761" w:themeColor="accent1" w:themeShade="BF"/>
      <w:lang w:val="en-US"/>
    </w:rPr>
  </w:style>
  <w:style w:type="paragraph" w:styleId="Ttulo6">
    <w:name w:val="heading 6"/>
    <w:basedOn w:val="Normal"/>
    <w:next w:val="Normal"/>
    <w:link w:val="Ttulo6Char"/>
    <w:uiPriority w:val="9"/>
    <w:semiHidden/>
    <w:unhideWhenUsed/>
    <w:qFormat/>
    <w:rsid w:val="00DB0522"/>
    <w:pPr>
      <w:keepNext/>
      <w:keepLines/>
      <w:spacing w:before="40" w:after="0" w:line="259" w:lineRule="auto"/>
      <w:jc w:val="both"/>
      <w:outlineLvl w:val="5"/>
    </w:pPr>
    <w:rPr>
      <w:rFonts w:asciiTheme="minorHAnsi" w:eastAsiaTheme="majorEastAsia" w:hAnsiTheme="minorHAnsi" w:cstheme="majorBidi"/>
      <w:i/>
      <w:iCs/>
      <w:color w:val="595959" w:themeColor="text1" w:themeTint="A6"/>
      <w:lang w:val="en-US"/>
    </w:rPr>
  </w:style>
  <w:style w:type="paragraph" w:styleId="Ttulo7">
    <w:name w:val="heading 7"/>
    <w:basedOn w:val="Normal"/>
    <w:next w:val="Normal"/>
    <w:link w:val="Ttulo7Char"/>
    <w:uiPriority w:val="9"/>
    <w:semiHidden/>
    <w:unhideWhenUsed/>
    <w:qFormat/>
    <w:rsid w:val="00DB0522"/>
    <w:pPr>
      <w:keepNext/>
      <w:keepLines/>
      <w:spacing w:before="40" w:after="0" w:line="259" w:lineRule="auto"/>
      <w:jc w:val="both"/>
      <w:outlineLvl w:val="6"/>
    </w:pPr>
    <w:rPr>
      <w:rFonts w:asciiTheme="minorHAnsi" w:eastAsiaTheme="majorEastAsia" w:hAnsiTheme="minorHAnsi" w:cstheme="majorBidi"/>
      <w:color w:val="595959" w:themeColor="text1" w:themeTint="A6"/>
      <w:lang w:val="en-US"/>
    </w:rPr>
  </w:style>
  <w:style w:type="paragraph" w:styleId="Ttulo8">
    <w:name w:val="heading 8"/>
    <w:basedOn w:val="Normal"/>
    <w:next w:val="Normal"/>
    <w:link w:val="Ttulo8Char"/>
    <w:uiPriority w:val="9"/>
    <w:semiHidden/>
    <w:unhideWhenUsed/>
    <w:qFormat/>
    <w:rsid w:val="00DB0522"/>
    <w:pPr>
      <w:keepNext/>
      <w:keepLines/>
      <w:spacing w:after="0" w:line="259" w:lineRule="auto"/>
      <w:jc w:val="both"/>
      <w:outlineLvl w:val="7"/>
    </w:pPr>
    <w:rPr>
      <w:rFonts w:asciiTheme="minorHAnsi" w:eastAsiaTheme="majorEastAsia" w:hAnsiTheme="minorHAnsi" w:cstheme="majorBidi"/>
      <w:i/>
      <w:iCs/>
      <w:color w:val="272727" w:themeColor="text1" w:themeTint="D8"/>
      <w:lang w:val="en-US"/>
    </w:rPr>
  </w:style>
  <w:style w:type="paragraph" w:styleId="Ttulo9">
    <w:name w:val="heading 9"/>
    <w:basedOn w:val="Normal"/>
    <w:next w:val="Normal"/>
    <w:link w:val="Ttulo9Char"/>
    <w:uiPriority w:val="9"/>
    <w:semiHidden/>
    <w:unhideWhenUsed/>
    <w:qFormat/>
    <w:rsid w:val="00DB0522"/>
    <w:pPr>
      <w:keepNext/>
      <w:keepLines/>
      <w:spacing w:after="0" w:line="259" w:lineRule="auto"/>
      <w:jc w:val="both"/>
      <w:outlineLvl w:val="8"/>
    </w:pPr>
    <w:rPr>
      <w:rFonts w:asciiTheme="minorHAnsi" w:eastAsiaTheme="majorEastAsia" w:hAnsiTheme="minorHAnsi" w:cstheme="majorBidi"/>
      <w:color w:val="272727" w:themeColor="text1" w:themeTint="D8"/>
      <w:lang w:val="en-U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DB0522"/>
    <w:rPr>
      <w:rFonts w:asciiTheme="majorHAnsi" w:eastAsiaTheme="majorEastAsia" w:hAnsiTheme="majorHAnsi" w:cstheme="majorBidi"/>
      <w:color w:val="0F4761" w:themeColor="accent1" w:themeShade="BF"/>
      <w:kern w:val="0"/>
      <w:sz w:val="40"/>
      <w:szCs w:val="40"/>
      <w14:ligatures w14:val="none"/>
    </w:rPr>
  </w:style>
  <w:style w:type="character" w:customStyle="1" w:styleId="Ttulo2Char">
    <w:name w:val="Título 2 Char"/>
    <w:basedOn w:val="Fontepargpadro"/>
    <w:link w:val="Ttulo2"/>
    <w:uiPriority w:val="9"/>
    <w:semiHidden/>
    <w:rsid w:val="00DB0522"/>
    <w:rPr>
      <w:rFonts w:asciiTheme="majorHAnsi" w:eastAsiaTheme="majorEastAsia" w:hAnsiTheme="majorHAnsi" w:cstheme="majorBidi"/>
      <w:color w:val="0F4761" w:themeColor="accent1" w:themeShade="BF"/>
      <w:kern w:val="0"/>
      <w:sz w:val="32"/>
      <w:szCs w:val="32"/>
      <w14:ligatures w14:val="none"/>
    </w:rPr>
  </w:style>
  <w:style w:type="character" w:customStyle="1" w:styleId="Ttulo3Char">
    <w:name w:val="Título 3 Char"/>
    <w:basedOn w:val="Fontepargpadro"/>
    <w:link w:val="Ttulo3"/>
    <w:uiPriority w:val="9"/>
    <w:semiHidden/>
    <w:rsid w:val="00DB0522"/>
    <w:rPr>
      <w:rFonts w:eastAsiaTheme="majorEastAsia" w:cstheme="majorBidi"/>
      <w:color w:val="0F4761" w:themeColor="accent1" w:themeShade="BF"/>
      <w:kern w:val="0"/>
      <w:sz w:val="28"/>
      <w:szCs w:val="28"/>
      <w14:ligatures w14:val="none"/>
    </w:rPr>
  </w:style>
  <w:style w:type="character" w:customStyle="1" w:styleId="Ttulo4Char">
    <w:name w:val="Título 4 Char"/>
    <w:basedOn w:val="Fontepargpadro"/>
    <w:link w:val="Ttulo4"/>
    <w:uiPriority w:val="9"/>
    <w:semiHidden/>
    <w:rsid w:val="00DB0522"/>
    <w:rPr>
      <w:rFonts w:eastAsiaTheme="majorEastAsia" w:cstheme="majorBidi"/>
      <w:i/>
      <w:iCs/>
      <w:color w:val="0F4761" w:themeColor="accent1" w:themeShade="BF"/>
      <w:kern w:val="0"/>
      <w:sz w:val="24"/>
      <w14:ligatures w14:val="none"/>
    </w:rPr>
  </w:style>
  <w:style w:type="character" w:customStyle="1" w:styleId="Ttulo5Char">
    <w:name w:val="Título 5 Char"/>
    <w:basedOn w:val="Fontepargpadro"/>
    <w:link w:val="Ttulo5"/>
    <w:uiPriority w:val="9"/>
    <w:semiHidden/>
    <w:rsid w:val="00DB0522"/>
    <w:rPr>
      <w:rFonts w:eastAsiaTheme="majorEastAsia" w:cstheme="majorBidi"/>
      <w:color w:val="0F4761" w:themeColor="accent1" w:themeShade="BF"/>
      <w:kern w:val="0"/>
      <w:sz w:val="24"/>
      <w14:ligatures w14:val="none"/>
    </w:rPr>
  </w:style>
  <w:style w:type="character" w:customStyle="1" w:styleId="Ttulo6Char">
    <w:name w:val="Título 6 Char"/>
    <w:basedOn w:val="Fontepargpadro"/>
    <w:link w:val="Ttulo6"/>
    <w:uiPriority w:val="9"/>
    <w:semiHidden/>
    <w:rsid w:val="00DB0522"/>
    <w:rPr>
      <w:rFonts w:eastAsiaTheme="majorEastAsia" w:cstheme="majorBidi"/>
      <w:i/>
      <w:iCs/>
      <w:color w:val="595959" w:themeColor="text1" w:themeTint="A6"/>
      <w:kern w:val="0"/>
      <w:sz w:val="24"/>
      <w14:ligatures w14:val="none"/>
    </w:rPr>
  </w:style>
  <w:style w:type="character" w:customStyle="1" w:styleId="Ttulo7Char">
    <w:name w:val="Título 7 Char"/>
    <w:basedOn w:val="Fontepargpadro"/>
    <w:link w:val="Ttulo7"/>
    <w:uiPriority w:val="9"/>
    <w:semiHidden/>
    <w:rsid w:val="00DB0522"/>
    <w:rPr>
      <w:rFonts w:eastAsiaTheme="majorEastAsia" w:cstheme="majorBidi"/>
      <w:color w:val="595959" w:themeColor="text1" w:themeTint="A6"/>
      <w:kern w:val="0"/>
      <w:sz w:val="24"/>
      <w14:ligatures w14:val="none"/>
    </w:rPr>
  </w:style>
  <w:style w:type="character" w:customStyle="1" w:styleId="Ttulo8Char">
    <w:name w:val="Título 8 Char"/>
    <w:basedOn w:val="Fontepargpadro"/>
    <w:link w:val="Ttulo8"/>
    <w:uiPriority w:val="9"/>
    <w:semiHidden/>
    <w:rsid w:val="00DB0522"/>
    <w:rPr>
      <w:rFonts w:eastAsiaTheme="majorEastAsia" w:cstheme="majorBidi"/>
      <w:i/>
      <w:iCs/>
      <w:color w:val="272727" w:themeColor="text1" w:themeTint="D8"/>
      <w:kern w:val="0"/>
      <w:sz w:val="24"/>
      <w14:ligatures w14:val="none"/>
    </w:rPr>
  </w:style>
  <w:style w:type="character" w:customStyle="1" w:styleId="Ttulo9Char">
    <w:name w:val="Título 9 Char"/>
    <w:basedOn w:val="Fontepargpadro"/>
    <w:link w:val="Ttulo9"/>
    <w:uiPriority w:val="9"/>
    <w:semiHidden/>
    <w:rsid w:val="00DB0522"/>
    <w:rPr>
      <w:rFonts w:eastAsiaTheme="majorEastAsia" w:cstheme="majorBidi"/>
      <w:color w:val="272727" w:themeColor="text1" w:themeTint="D8"/>
      <w:kern w:val="0"/>
      <w:sz w:val="24"/>
      <w14:ligatures w14:val="none"/>
    </w:rPr>
  </w:style>
  <w:style w:type="paragraph" w:styleId="Ttulo">
    <w:name w:val="Title"/>
    <w:basedOn w:val="Normal"/>
    <w:next w:val="Normal"/>
    <w:link w:val="TtuloChar"/>
    <w:uiPriority w:val="10"/>
    <w:qFormat/>
    <w:rsid w:val="00DB0522"/>
    <w:pPr>
      <w:spacing w:after="80" w:line="240" w:lineRule="auto"/>
      <w:contextualSpacing/>
      <w:jc w:val="both"/>
    </w:pPr>
    <w:rPr>
      <w:rFonts w:asciiTheme="majorHAnsi" w:eastAsiaTheme="majorEastAsia" w:hAnsiTheme="majorHAnsi" w:cstheme="majorBidi"/>
      <w:spacing w:val="-10"/>
      <w:kern w:val="28"/>
      <w:sz w:val="56"/>
      <w:szCs w:val="56"/>
      <w:lang w:val="en-US"/>
    </w:rPr>
  </w:style>
  <w:style w:type="character" w:customStyle="1" w:styleId="TtuloChar">
    <w:name w:val="Título Char"/>
    <w:basedOn w:val="Fontepargpadro"/>
    <w:link w:val="Ttulo"/>
    <w:uiPriority w:val="10"/>
    <w:rsid w:val="00DB0522"/>
    <w:rPr>
      <w:rFonts w:asciiTheme="majorHAnsi" w:eastAsiaTheme="majorEastAsia" w:hAnsiTheme="majorHAnsi" w:cstheme="majorBidi"/>
      <w:spacing w:val="-10"/>
      <w:kern w:val="28"/>
      <w:sz w:val="56"/>
      <w:szCs w:val="56"/>
      <w14:ligatures w14:val="none"/>
    </w:rPr>
  </w:style>
  <w:style w:type="paragraph" w:styleId="Subttulo">
    <w:name w:val="Subtitle"/>
    <w:basedOn w:val="Normal"/>
    <w:next w:val="Normal"/>
    <w:link w:val="SubttuloChar"/>
    <w:uiPriority w:val="11"/>
    <w:qFormat/>
    <w:rsid w:val="00DB0522"/>
    <w:pPr>
      <w:numPr>
        <w:ilvl w:val="1"/>
      </w:numPr>
      <w:spacing w:after="160" w:line="259" w:lineRule="auto"/>
      <w:jc w:val="both"/>
    </w:pPr>
    <w:rPr>
      <w:rFonts w:asciiTheme="minorHAnsi" w:eastAsiaTheme="majorEastAsia" w:hAnsiTheme="minorHAnsi" w:cstheme="majorBidi"/>
      <w:color w:val="595959" w:themeColor="text1" w:themeTint="A6"/>
      <w:spacing w:val="15"/>
      <w:sz w:val="28"/>
      <w:szCs w:val="28"/>
      <w:lang w:val="en-US"/>
    </w:rPr>
  </w:style>
  <w:style w:type="character" w:customStyle="1" w:styleId="SubttuloChar">
    <w:name w:val="Subtítulo Char"/>
    <w:basedOn w:val="Fontepargpadro"/>
    <w:link w:val="Subttulo"/>
    <w:uiPriority w:val="11"/>
    <w:rsid w:val="00DB0522"/>
    <w:rPr>
      <w:rFonts w:eastAsiaTheme="majorEastAsia" w:cstheme="majorBidi"/>
      <w:color w:val="595959" w:themeColor="text1" w:themeTint="A6"/>
      <w:spacing w:val="15"/>
      <w:kern w:val="0"/>
      <w:sz w:val="28"/>
      <w:szCs w:val="28"/>
      <w14:ligatures w14:val="none"/>
    </w:rPr>
  </w:style>
  <w:style w:type="paragraph" w:styleId="Citao">
    <w:name w:val="Quote"/>
    <w:basedOn w:val="Normal"/>
    <w:next w:val="Normal"/>
    <w:link w:val="CitaoChar"/>
    <w:uiPriority w:val="29"/>
    <w:qFormat/>
    <w:rsid w:val="00DB0522"/>
    <w:pPr>
      <w:spacing w:before="160" w:after="160" w:line="259" w:lineRule="auto"/>
      <w:jc w:val="center"/>
    </w:pPr>
    <w:rPr>
      <w:i/>
      <w:iCs/>
      <w:color w:val="404040" w:themeColor="text1" w:themeTint="BF"/>
      <w:lang w:val="en-US"/>
    </w:rPr>
  </w:style>
  <w:style w:type="character" w:customStyle="1" w:styleId="CitaoChar">
    <w:name w:val="Citação Char"/>
    <w:basedOn w:val="Fontepargpadro"/>
    <w:link w:val="Citao"/>
    <w:uiPriority w:val="29"/>
    <w:rsid w:val="00DB0522"/>
    <w:rPr>
      <w:rFonts w:ascii="Times New Roman" w:hAnsi="Times New Roman"/>
      <w:i/>
      <w:iCs/>
      <w:color w:val="404040" w:themeColor="text1" w:themeTint="BF"/>
      <w:kern w:val="0"/>
      <w:sz w:val="24"/>
      <w14:ligatures w14:val="none"/>
    </w:rPr>
  </w:style>
  <w:style w:type="paragraph" w:styleId="PargrafodaLista">
    <w:name w:val="List Paragraph"/>
    <w:basedOn w:val="Normal"/>
    <w:uiPriority w:val="34"/>
    <w:qFormat/>
    <w:rsid w:val="00DB0522"/>
    <w:pPr>
      <w:spacing w:after="160" w:line="259" w:lineRule="auto"/>
      <w:ind w:left="720"/>
      <w:contextualSpacing/>
      <w:jc w:val="both"/>
    </w:pPr>
    <w:rPr>
      <w:color w:val="000000" w:themeColor="text1"/>
      <w:lang w:val="en-US"/>
    </w:rPr>
  </w:style>
  <w:style w:type="character" w:styleId="nfaseIntensa">
    <w:name w:val="Intense Emphasis"/>
    <w:basedOn w:val="Fontepargpadro"/>
    <w:uiPriority w:val="21"/>
    <w:qFormat/>
    <w:rsid w:val="00DB0522"/>
    <w:rPr>
      <w:i/>
      <w:iCs/>
      <w:color w:val="0F4761" w:themeColor="accent1" w:themeShade="BF"/>
    </w:rPr>
  </w:style>
  <w:style w:type="paragraph" w:styleId="CitaoIntensa">
    <w:name w:val="Intense Quote"/>
    <w:basedOn w:val="Normal"/>
    <w:next w:val="Normal"/>
    <w:link w:val="CitaoIntensaChar"/>
    <w:uiPriority w:val="30"/>
    <w:qFormat/>
    <w:rsid w:val="00DB0522"/>
    <w:pPr>
      <w:pBdr>
        <w:top w:val="single" w:sz="4" w:space="10" w:color="0F4761" w:themeColor="accent1" w:themeShade="BF"/>
        <w:bottom w:val="single" w:sz="4" w:space="10" w:color="0F4761" w:themeColor="accent1" w:themeShade="BF"/>
      </w:pBdr>
      <w:spacing w:before="360" w:after="360" w:line="259" w:lineRule="auto"/>
      <w:ind w:left="864" w:right="864"/>
      <w:jc w:val="center"/>
    </w:pPr>
    <w:rPr>
      <w:i/>
      <w:iCs/>
      <w:color w:val="0F4761" w:themeColor="accent1" w:themeShade="BF"/>
      <w:lang w:val="en-US"/>
    </w:rPr>
  </w:style>
  <w:style w:type="character" w:customStyle="1" w:styleId="CitaoIntensaChar">
    <w:name w:val="Citação Intensa Char"/>
    <w:basedOn w:val="Fontepargpadro"/>
    <w:link w:val="CitaoIntensa"/>
    <w:uiPriority w:val="30"/>
    <w:rsid w:val="00DB0522"/>
    <w:rPr>
      <w:rFonts w:ascii="Times New Roman" w:hAnsi="Times New Roman"/>
      <w:i/>
      <w:iCs/>
      <w:color w:val="0F4761" w:themeColor="accent1" w:themeShade="BF"/>
      <w:kern w:val="0"/>
      <w:sz w:val="24"/>
      <w14:ligatures w14:val="none"/>
    </w:rPr>
  </w:style>
  <w:style w:type="character" w:styleId="RefernciaIntensa">
    <w:name w:val="Intense Reference"/>
    <w:basedOn w:val="Fontepargpadro"/>
    <w:uiPriority w:val="32"/>
    <w:qFormat/>
    <w:rsid w:val="00DB0522"/>
    <w:rPr>
      <w:b/>
      <w:bCs/>
      <w:smallCaps/>
      <w:color w:val="0F4761" w:themeColor="accent1" w:themeShade="BF"/>
      <w:spacing w:val="5"/>
    </w:rPr>
  </w:style>
  <w:style w:type="paragraph" w:styleId="Cabealho">
    <w:name w:val="header"/>
    <w:basedOn w:val="Normal"/>
    <w:link w:val="CabealhoChar"/>
    <w:uiPriority w:val="99"/>
    <w:unhideWhenUsed/>
    <w:rsid w:val="00BC7604"/>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BC7604"/>
    <w:rPr>
      <w:rFonts w:ascii="Times New Roman" w:hAnsi="Times New Roman"/>
      <w:kern w:val="0"/>
      <w:sz w:val="24"/>
      <w:lang w:val="pt-BR"/>
      <w14:ligatures w14:val="none"/>
    </w:rPr>
  </w:style>
  <w:style w:type="paragraph" w:styleId="Rodap">
    <w:name w:val="footer"/>
    <w:basedOn w:val="Normal"/>
    <w:link w:val="RodapChar"/>
    <w:uiPriority w:val="99"/>
    <w:unhideWhenUsed/>
    <w:rsid w:val="00BC7604"/>
    <w:pPr>
      <w:tabs>
        <w:tab w:val="center" w:pos="4252"/>
        <w:tab w:val="right" w:pos="8504"/>
      </w:tabs>
      <w:spacing w:after="0" w:line="240" w:lineRule="auto"/>
    </w:pPr>
  </w:style>
  <w:style w:type="character" w:customStyle="1" w:styleId="RodapChar">
    <w:name w:val="Rodapé Char"/>
    <w:basedOn w:val="Fontepargpadro"/>
    <w:link w:val="Rodap"/>
    <w:uiPriority w:val="99"/>
    <w:rsid w:val="00BC7604"/>
    <w:rPr>
      <w:rFonts w:ascii="Times New Roman" w:hAnsi="Times New Roman"/>
      <w:kern w:val="0"/>
      <w:sz w:val="24"/>
      <w:lang w:val="pt-BR"/>
      <w14:ligatures w14:val="none"/>
    </w:rPr>
  </w:style>
  <w:style w:type="character" w:styleId="Refdecomentrio">
    <w:name w:val="annotation reference"/>
    <w:basedOn w:val="Fontepargpadro"/>
    <w:uiPriority w:val="99"/>
    <w:semiHidden/>
    <w:unhideWhenUsed/>
    <w:rsid w:val="00634674"/>
    <w:rPr>
      <w:sz w:val="16"/>
      <w:szCs w:val="16"/>
    </w:rPr>
  </w:style>
  <w:style w:type="paragraph" w:styleId="Textodecomentrio">
    <w:name w:val="annotation text"/>
    <w:basedOn w:val="Normal"/>
    <w:link w:val="TextodecomentrioChar"/>
    <w:uiPriority w:val="99"/>
    <w:semiHidden/>
    <w:unhideWhenUsed/>
    <w:rsid w:val="00634674"/>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634674"/>
    <w:rPr>
      <w:rFonts w:ascii="Times New Roman" w:hAnsi="Times New Roman"/>
      <w:kern w:val="0"/>
      <w:sz w:val="20"/>
      <w:szCs w:val="20"/>
      <w:lang w:val="pt-BR"/>
      <w14:ligatures w14:val="none"/>
    </w:rPr>
  </w:style>
  <w:style w:type="paragraph" w:styleId="Assuntodocomentrio">
    <w:name w:val="annotation subject"/>
    <w:basedOn w:val="Textodecomentrio"/>
    <w:next w:val="Textodecomentrio"/>
    <w:link w:val="AssuntodocomentrioChar"/>
    <w:uiPriority w:val="99"/>
    <w:semiHidden/>
    <w:unhideWhenUsed/>
    <w:rsid w:val="00634674"/>
    <w:rPr>
      <w:b/>
      <w:bCs/>
    </w:rPr>
  </w:style>
  <w:style w:type="character" w:customStyle="1" w:styleId="AssuntodocomentrioChar">
    <w:name w:val="Assunto do comentário Char"/>
    <w:basedOn w:val="TextodecomentrioChar"/>
    <w:link w:val="Assuntodocomentrio"/>
    <w:uiPriority w:val="99"/>
    <w:semiHidden/>
    <w:rsid w:val="00634674"/>
    <w:rPr>
      <w:rFonts w:ascii="Times New Roman" w:hAnsi="Times New Roman"/>
      <w:b/>
      <w:bCs/>
      <w:kern w:val="0"/>
      <w:sz w:val="20"/>
      <w:szCs w:val="20"/>
      <w:lang w:val="pt-BR"/>
      <w14:ligatures w14:val="none"/>
    </w:rPr>
  </w:style>
  <w:style w:type="paragraph" w:styleId="Textodebalo">
    <w:name w:val="Balloon Text"/>
    <w:basedOn w:val="Normal"/>
    <w:link w:val="TextodebaloChar"/>
    <w:uiPriority w:val="99"/>
    <w:semiHidden/>
    <w:unhideWhenUsed/>
    <w:rsid w:val="00634674"/>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634674"/>
    <w:rPr>
      <w:rFonts w:ascii="Segoe UI" w:hAnsi="Segoe UI" w:cs="Segoe UI"/>
      <w:kern w:val="0"/>
      <w:sz w:val="18"/>
      <w:szCs w:val="18"/>
      <w:lang w:val="pt-BR"/>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nk.springer.com/article/10.3758/BRM.41.4.1149" TargetMode="External"/><Relationship Id="rId13" Type="http://schemas.openxmlformats.org/officeDocument/2006/relationships/image" Target="media/image3.png"/><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hyperlink" Target="https://www.jstor.org/stable/2984809?seq=1"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s://www.emerald.com/insight/content/doi/10.1108/S1474-7979(2009)0000020014/full/html" TargetMode="External"/><Relationship Id="rId5" Type="http://schemas.openxmlformats.org/officeDocument/2006/relationships/endnotes" Target="endnotes.xml"/><Relationship Id="rId15" Type="http://schemas.openxmlformats.org/officeDocument/2006/relationships/footer" Target="footer1.xml"/><Relationship Id="rId10" Type="http://schemas.openxmlformats.org/officeDocument/2006/relationships/hyperlink" Target="https://academic.oup.com/biomet/article-abstract/61/1/101/264348?redirectedFrom=fulltext" TargetMode="External"/><Relationship Id="rId4" Type="http://schemas.openxmlformats.org/officeDocument/2006/relationships/footnotes" Target="footnotes.xml"/><Relationship Id="rId9" Type="http://schemas.openxmlformats.org/officeDocument/2006/relationships/hyperlink" Target="https://www.jstor.org/stable/3151312" TargetMode="External"/><Relationship Id="rId14" Type="http://schemas.openxmlformats.org/officeDocument/2006/relationships/header" Target="header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69</TotalTime>
  <Pages>24</Pages>
  <Words>16888</Words>
  <Characters>96267</Characters>
  <Application>Microsoft Office Word</Application>
  <DocSecurity>0</DocSecurity>
  <Lines>802</Lines>
  <Paragraphs>225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112930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Pommer</dc:creator>
  <cp:keywords/>
  <dc:description/>
  <cp:lastModifiedBy>Pommer</cp:lastModifiedBy>
  <cp:revision>20</cp:revision>
  <dcterms:created xsi:type="dcterms:W3CDTF">2024-05-02T23:56:00Z</dcterms:created>
  <dcterms:modified xsi:type="dcterms:W3CDTF">2024-05-06T14:26:00Z</dcterms:modified>
</cp:coreProperties>
</file>